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BC" w:rsidRDefault="00274CA3" w:rsidP="00E900BC">
      <w:pPr>
        <w:pStyle w:val="Heading1"/>
      </w:pPr>
      <w:bookmarkStart w:id="0" w:name="_Toc102797972"/>
      <w:r>
        <w:t xml:space="preserve">Electronically Submitted AFSA </w:t>
      </w:r>
      <w:r w:rsidR="00E900BC">
        <w:t>Annual Estate Return</w:t>
      </w:r>
      <w:bookmarkEnd w:id="0"/>
    </w:p>
    <w:p w:rsidR="00E900BC" w:rsidRDefault="00E900BC" w:rsidP="00E900BC"/>
    <w:p w:rsidR="004515FC" w:rsidRDefault="004515FC" w:rsidP="004515FC">
      <w:r>
        <w:t>For the purpose this discussion we’ll refer to jobs (bankruptcies and debt agreements) as “admins”.</w:t>
      </w:r>
    </w:p>
    <w:p w:rsidR="004515FC" w:rsidRDefault="004515FC" w:rsidP="004515FC"/>
    <w:p w:rsidR="00274CA3" w:rsidRDefault="00274CA3" w:rsidP="00E900BC">
      <w:r>
        <w:t xml:space="preserve">ASFA now provides a facility to upload </w:t>
      </w:r>
      <w:r w:rsidR="00F52EBC">
        <w:t xml:space="preserve">AER </w:t>
      </w:r>
      <w:r>
        <w:t xml:space="preserve">spreadsheets. </w:t>
      </w:r>
    </w:p>
    <w:p w:rsidR="00274CA3" w:rsidRDefault="00274CA3" w:rsidP="00E900BC"/>
    <w:p w:rsidR="00274CA3" w:rsidRDefault="004515FC" w:rsidP="00E900BC">
      <w:r>
        <w:t xml:space="preserve">You may find details of the lodging </w:t>
      </w:r>
      <w:r w:rsidR="00274CA3">
        <w:t>proc</w:t>
      </w:r>
      <w:r>
        <w:t xml:space="preserve">ess for </w:t>
      </w:r>
      <w:r w:rsidR="00274CA3">
        <w:t xml:space="preserve">spreadsheets </w:t>
      </w:r>
      <w:r>
        <w:t xml:space="preserve">by following this link </w:t>
      </w:r>
      <w:hyperlink r:id="rId5" w:history="1">
        <w:r w:rsidR="002847D5" w:rsidRPr="00A1754D">
          <w:rPr>
            <w:rStyle w:val="Hyperlink"/>
          </w:rPr>
          <w:t>https://www.afsa.gov.au/online-services/practitioner-online-services</w:t>
        </w:r>
      </w:hyperlink>
      <w:r w:rsidR="002847D5">
        <w:t>.</w:t>
      </w:r>
    </w:p>
    <w:p w:rsidR="00274CA3" w:rsidRDefault="00274CA3" w:rsidP="00E900BC"/>
    <w:p w:rsidR="00274CA3" w:rsidRDefault="00274CA3" w:rsidP="00E900BC">
      <w:r>
        <w:t xml:space="preserve">Some aspects of </w:t>
      </w:r>
      <w:r w:rsidR="001867C3">
        <w:t xml:space="preserve">AFSA </w:t>
      </w:r>
      <w:r>
        <w:t>spreadsheet submission:</w:t>
      </w:r>
    </w:p>
    <w:p w:rsidR="00274CA3" w:rsidRDefault="00274CA3" w:rsidP="00E900BC"/>
    <w:p w:rsidR="00274CA3" w:rsidRDefault="00274CA3" w:rsidP="00274CA3">
      <w:pPr>
        <w:numPr>
          <w:ilvl w:val="0"/>
          <w:numId w:val="2"/>
        </w:numPr>
      </w:pPr>
      <w:r>
        <w:t xml:space="preserve">You may submit any collection of </w:t>
      </w:r>
      <w:r w:rsidR="004515FC">
        <w:t xml:space="preserve">admins </w:t>
      </w:r>
      <w:r w:rsidR="001867C3">
        <w:t xml:space="preserve">in a single upload, either one admin at a time, </w:t>
      </w:r>
      <w:r>
        <w:t xml:space="preserve">all </w:t>
      </w:r>
      <w:r w:rsidR="00F764A6">
        <w:t xml:space="preserve">admins in a single submission </w:t>
      </w:r>
      <w:r>
        <w:t xml:space="preserve">or </w:t>
      </w:r>
      <w:r w:rsidR="001867C3">
        <w:t xml:space="preserve">a </w:t>
      </w:r>
      <w:r w:rsidR="00F764A6">
        <w:t xml:space="preserve">selection </w:t>
      </w:r>
      <w:r w:rsidR="001867C3">
        <w:t>of admins in the same spreadsheet</w:t>
      </w:r>
      <w:r>
        <w:t>.</w:t>
      </w:r>
      <w:r w:rsidR="001867C3">
        <w:br/>
      </w:r>
    </w:p>
    <w:p w:rsidR="001867C3" w:rsidRDefault="001867C3" w:rsidP="00274CA3">
      <w:pPr>
        <w:numPr>
          <w:ilvl w:val="0"/>
          <w:numId w:val="2"/>
        </w:numPr>
      </w:pPr>
      <w:r>
        <w:t>At any time you can produce a spreadsheet from AFSA’s website that gives you the figures for the submissions</w:t>
      </w:r>
      <w:r w:rsidR="008E0AD6">
        <w:t xml:space="preserve"> made</w:t>
      </w:r>
      <w:r>
        <w:t xml:space="preserve"> to date and highlight</w:t>
      </w:r>
      <w:r w:rsidR="004515FC">
        <w:t>s</w:t>
      </w:r>
      <w:r>
        <w:t xml:space="preserve"> the submissions outstanding.</w:t>
      </w:r>
    </w:p>
    <w:p w:rsidR="00274CA3" w:rsidRDefault="00274CA3" w:rsidP="00E900BC"/>
    <w:p w:rsidR="001867C3" w:rsidRDefault="001867C3" w:rsidP="00274CA3">
      <w:pPr>
        <w:numPr>
          <w:ilvl w:val="0"/>
          <w:numId w:val="2"/>
        </w:numPr>
      </w:pPr>
      <w:r>
        <w:t xml:space="preserve">You can upload the same admin multiple times to update submitted data. If you do this after the due date there may be </w:t>
      </w:r>
      <w:r w:rsidR="00F764A6">
        <w:t xml:space="preserve">penalties, however, </w:t>
      </w:r>
      <w:r w:rsidR="008E0AD6">
        <w:t xml:space="preserve">should </w:t>
      </w:r>
      <w:r w:rsidR="00F764A6">
        <w:t>the realisation or interest charge liabilities increase</w:t>
      </w:r>
      <w:r>
        <w:t>.</w:t>
      </w:r>
      <w:r>
        <w:br/>
      </w:r>
    </w:p>
    <w:p w:rsidR="001867C3" w:rsidRDefault="001867C3" w:rsidP="001867C3">
      <w:pPr>
        <w:numPr>
          <w:ilvl w:val="0"/>
          <w:numId w:val="2"/>
        </w:numPr>
      </w:pPr>
      <w:r>
        <w:t xml:space="preserve">There are other rules around submission such as if you submit an admin with an end date, you can reactive the admin by resubmitting the spreadsheet </w:t>
      </w:r>
      <w:r w:rsidR="00F764A6">
        <w:t>containing</w:t>
      </w:r>
      <w:r>
        <w:t xml:space="preserve"> the </w:t>
      </w:r>
      <w:r w:rsidR="00F764A6">
        <w:t xml:space="preserve">same </w:t>
      </w:r>
      <w:r>
        <w:t>admin without an end date.</w:t>
      </w:r>
      <w:r w:rsidR="0006272F">
        <w:br/>
      </w:r>
    </w:p>
    <w:p w:rsidR="0006272F" w:rsidRDefault="0006272F" w:rsidP="001867C3">
      <w:pPr>
        <w:numPr>
          <w:ilvl w:val="0"/>
          <w:numId w:val="2"/>
        </w:numPr>
      </w:pPr>
      <w:r>
        <w:t xml:space="preserve">To submit a joint admin submit the </w:t>
      </w:r>
      <w:r w:rsidR="00F764A6">
        <w:t xml:space="preserve">joint estate </w:t>
      </w:r>
      <w:r>
        <w:t>record</w:t>
      </w:r>
      <w:r w:rsidR="008E0AD6">
        <w:t>.</w:t>
      </w:r>
      <w:r w:rsidR="008E0AD6">
        <w:br/>
      </w:r>
      <w:r w:rsidR="008E0AD6">
        <w:br/>
        <w:t xml:space="preserve">The Insolvency software will </w:t>
      </w:r>
      <w:r w:rsidR="00F764A6">
        <w:t>consolidate</w:t>
      </w:r>
      <w:r w:rsidR="008E0AD6">
        <w:t xml:space="preserve"> individual estates </w:t>
      </w:r>
      <w:r w:rsidR="00F764A6">
        <w:t xml:space="preserve">into the joint estate for AER </w:t>
      </w:r>
      <w:r w:rsidR="008E0AD6">
        <w:t xml:space="preserve">reporting </w:t>
      </w:r>
      <w:r w:rsidR="00F764A6">
        <w:t>purposes</w:t>
      </w:r>
      <w:r>
        <w:t>. This is consolidated onto o</w:t>
      </w:r>
      <w:r w:rsidR="008E0AD6">
        <w:t>ne line of the AER spreadsheet.</w:t>
      </w:r>
    </w:p>
    <w:p w:rsidR="00274CA3" w:rsidRDefault="00274CA3" w:rsidP="00274CA3">
      <w:pPr>
        <w:ind w:left="720"/>
      </w:pPr>
    </w:p>
    <w:p w:rsidR="00274CA3" w:rsidRDefault="0006272F" w:rsidP="00274CA3">
      <w:pPr>
        <w:numPr>
          <w:ilvl w:val="0"/>
          <w:numId w:val="2"/>
        </w:numPr>
      </w:pPr>
      <w:r>
        <w:t>You may create t</w:t>
      </w:r>
      <w:r w:rsidR="00E900BC">
        <w:t xml:space="preserve">he AER </w:t>
      </w:r>
      <w:r>
        <w:t xml:space="preserve">spreadsheet from </w:t>
      </w:r>
      <w:r w:rsidR="00274CA3">
        <w:t xml:space="preserve">either the </w:t>
      </w:r>
      <w:r w:rsidR="00E900BC">
        <w:t>Practice</w:t>
      </w:r>
      <w:r w:rsidR="00274CA3">
        <w:t xml:space="preserve"> or each job individually</w:t>
      </w:r>
      <w:r w:rsidR="00E900BC">
        <w:t>.</w:t>
      </w:r>
      <w:r>
        <w:t xml:space="preserve"> A document management record is created at either the job level or the practice, depending from where you create the spreadsheet.</w:t>
      </w:r>
    </w:p>
    <w:p w:rsidR="00274CA3" w:rsidRDefault="00274CA3" w:rsidP="00274CA3">
      <w:pPr>
        <w:ind w:left="720"/>
      </w:pPr>
    </w:p>
    <w:p w:rsidR="0006272F" w:rsidRDefault="0006272F" w:rsidP="00E900BC"/>
    <w:p w:rsidR="00DA43E2" w:rsidRDefault="00DA43E2">
      <w:pPr>
        <w:rPr>
          <w:b/>
          <w:bCs/>
          <w:sz w:val="28"/>
        </w:rPr>
      </w:pPr>
      <w:r>
        <w:br w:type="page"/>
      </w:r>
    </w:p>
    <w:p w:rsidR="0006272F" w:rsidRDefault="0006272F" w:rsidP="0006272F">
      <w:pPr>
        <w:pStyle w:val="Heading1"/>
      </w:pPr>
      <w:r>
        <w:lastRenderedPageBreak/>
        <w:t>Producing the Annual Return</w:t>
      </w:r>
    </w:p>
    <w:p w:rsidR="00080D82" w:rsidRPr="00080D82" w:rsidRDefault="00080D82" w:rsidP="00080D82"/>
    <w:p w:rsidR="0006272F" w:rsidRDefault="0006272F" w:rsidP="0006272F">
      <w:r>
        <w:t xml:space="preserve">From the Reports </w:t>
      </w:r>
      <w:r w:rsidR="000A7FBC">
        <w:t xml:space="preserve">and </w:t>
      </w:r>
      <w:r w:rsidR="00880170">
        <w:t>F</w:t>
      </w:r>
      <w:r w:rsidR="000A7FBC">
        <w:t xml:space="preserve">orms menu </w:t>
      </w:r>
      <w:r>
        <w:t>select</w:t>
      </w:r>
      <w:r w:rsidR="000A7FBC">
        <w:t xml:space="preserve"> the Bankruptcy Returns category and select </w:t>
      </w:r>
      <w:r w:rsidR="00880170" w:rsidRPr="00880170">
        <w:rPr>
          <w:b/>
          <w:i/>
        </w:rPr>
        <w:t>Annual Estate Return AER (Non Debt Agreement)</w:t>
      </w:r>
      <w:r w:rsidR="00E06045">
        <w:rPr>
          <w:b/>
          <w:i/>
        </w:rPr>
        <w:t xml:space="preserve"> </w:t>
      </w:r>
      <w:r w:rsidR="00E06045" w:rsidRPr="00E06045">
        <w:rPr>
          <w:i/>
        </w:rPr>
        <w:t xml:space="preserve">or </w:t>
      </w:r>
      <w:r w:rsidR="00E06045" w:rsidRPr="00880170">
        <w:rPr>
          <w:b/>
          <w:i/>
        </w:rPr>
        <w:t>Annual Estate Return AER (Debt Agreement)</w:t>
      </w:r>
      <w:r w:rsidR="00E06045">
        <w:rPr>
          <w:b/>
          <w:i/>
        </w:rPr>
        <w:t>.</w:t>
      </w:r>
    </w:p>
    <w:p w:rsidR="0006272F" w:rsidRDefault="0006272F" w:rsidP="00E900BC"/>
    <w:p w:rsidR="00DA43E2" w:rsidRDefault="00DA43E2" w:rsidP="00E900BC">
      <w:r>
        <w:t>Document production opens and you are prompted to enter filters:</w:t>
      </w:r>
    </w:p>
    <w:p w:rsidR="00DA43E2" w:rsidRDefault="00DA43E2" w:rsidP="00E900BC">
      <w:r>
        <w:rPr>
          <w:noProof/>
          <w:lang w:eastAsia="en-AU"/>
        </w:rPr>
        <w:drawing>
          <wp:inline distT="0" distB="0" distL="0" distR="0" wp14:anchorId="77E83BF4" wp14:editId="235109A9">
            <wp:extent cx="5274310" cy="4168140"/>
            <wp:effectExtent l="0" t="0" r="254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3E2" w:rsidRDefault="00DA43E2" w:rsidP="006A7918"/>
    <w:p w:rsidR="00F52EBC" w:rsidRDefault="00F52EBC" w:rsidP="006A7918">
      <w:r>
        <w:t>Use the A to Z filter on job name to produce of a range of jobs.</w:t>
      </w:r>
    </w:p>
    <w:p w:rsidR="00F52EBC" w:rsidRDefault="00F52EBC" w:rsidP="006A7918"/>
    <w:p w:rsidR="00DA43E2" w:rsidRDefault="00DA43E2" w:rsidP="00DA43E2">
      <w:pPr>
        <w:pStyle w:val="Heading2"/>
      </w:pPr>
      <w:r>
        <w:t>Document Management</w:t>
      </w:r>
    </w:p>
    <w:p w:rsidR="00DA43E2" w:rsidRDefault="00DA43E2" w:rsidP="006A7918">
      <w:r>
        <w:t>A record will be created in document management.</w:t>
      </w:r>
    </w:p>
    <w:p w:rsidR="00B44D4D" w:rsidRDefault="00DA43E2" w:rsidP="006A7918">
      <w:r>
        <w:rPr>
          <w:noProof/>
          <w:lang w:eastAsia="en-AU"/>
        </w:rPr>
        <w:drawing>
          <wp:inline distT="0" distB="0" distL="0" distR="0" wp14:anchorId="34676272" wp14:editId="7913C107">
            <wp:extent cx="5200650" cy="12001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D4D" w:rsidRDefault="00B44D4D" w:rsidP="006A7918"/>
    <w:p w:rsidR="00080D82" w:rsidRDefault="00080D82">
      <w:pPr>
        <w:rPr>
          <w:b/>
          <w:bCs/>
          <w:sz w:val="28"/>
        </w:rPr>
      </w:pPr>
      <w:r>
        <w:br w:type="page"/>
      </w:r>
    </w:p>
    <w:p w:rsidR="00B44D4D" w:rsidRDefault="00B44D4D" w:rsidP="00B44D4D">
      <w:pPr>
        <w:pStyle w:val="Heading1"/>
      </w:pPr>
      <w:r>
        <w:lastRenderedPageBreak/>
        <w:t>Producing Detail Reports</w:t>
      </w:r>
    </w:p>
    <w:p w:rsidR="00080D82" w:rsidRPr="00080D82" w:rsidRDefault="00080D82" w:rsidP="00080D82"/>
    <w:p w:rsidR="00B44D4D" w:rsidRDefault="00B44D4D" w:rsidP="006A7918">
      <w:r>
        <w:t>From personal jobs you may produce the following detail spreadsheets:</w:t>
      </w:r>
    </w:p>
    <w:p w:rsidR="00B44D4D" w:rsidRDefault="00B44D4D" w:rsidP="00B44D4D">
      <w:pPr>
        <w:pStyle w:val="ListParagraph"/>
        <w:numPr>
          <w:ilvl w:val="0"/>
          <w:numId w:val="6"/>
        </w:numPr>
      </w:pPr>
      <w:r w:rsidRPr="00B44D4D">
        <w:t>Annual Estate Return AER Payments Detail</w:t>
      </w:r>
    </w:p>
    <w:p w:rsidR="00A86839" w:rsidRDefault="00B44D4D" w:rsidP="00B44D4D">
      <w:pPr>
        <w:pStyle w:val="ListParagraph"/>
        <w:numPr>
          <w:ilvl w:val="0"/>
          <w:numId w:val="6"/>
        </w:numPr>
      </w:pPr>
      <w:r w:rsidRPr="00B44D4D">
        <w:t>Annual Estate Return AER Receipts Detail</w:t>
      </w:r>
    </w:p>
    <w:p w:rsidR="00A86839" w:rsidRDefault="00A86839" w:rsidP="00A86839"/>
    <w:p w:rsidR="00080D82" w:rsidRDefault="00A86839" w:rsidP="00A86839">
      <w:r>
        <w:t>This will allow you to look at the summary figures and determine which entries make up the detail and how the entries are categorised.</w:t>
      </w:r>
    </w:p>
    <w:p w:rsidR="00080D82" w:rsidRDefault="00080D82" w:rsidP="00A86839"/>
    <w:p w:rsidR="006F6388" w:rsidRDefault="00080D82" w:rsidP="00A86839">
      <w:r>
        <w:rPr>
          <w:noProof/>
          <w:lang w:eastAsia="en-AU"/>
        </w:rPr>
        <w:drawing>
          <wp:inline distT="0" distB="0" distL="0" distR="0" wp14:anchorId="058C3D43" wp14:editId="1FA6D8D1">
            <wp:extent cx="5788025" cy="2085340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388" w:rsidRDefault="006F6388" w:rsidP="00A86839"/>
    <w:p w:rsidR="006F6388" w:rsidRDefault="006F6388" w:rsidP="006F6388">
      <w:pPr>
        <w:pStyle w:val="Heading1"/>
      </w:pPr>
      <w:r>
        <w:t>Uploading the spreadsheet</w:t>
      </w:r>
    </w:p>
    <w:p w:rsidR="006F6388" w:rsidRDefault="006F6388" w:rsidP="00A86839"/>
    <w:p w:rsidR="006A7918" w:rsidRDefault="006F6388" w:rsidP="00A86839">
      <w:r w:rsidRPr="006F6388">
        <w:rPr>
          <w:noProof/>
          <w:lang w:eastAsia="en-AU"/>
        </w:rPr>
        <w:drawing>
          <wp:inline distT="0" distB="0" distL="0" distR="0" wp14:anchorId="012A4600" wp14:editId="6A5C973B">
            <wp:extent cx="4601217" cy="3620005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918">
        <w:br w:type="page"/>
      </w:r>
    </w:p>
    <w:p w:rsidR="00DA43E2" w:rsidRDefault="00DA43E2" w:rsidP="006A7918">
      <w:pPr>
        <w:rPr>
          <w:sz w:val="28"/>
        </w:rPr>
      </w:pPr>
    </w:p>
    <w:p w:rsidR="00E900BC" w:rsidRPr="0006272F" w:rsidRDefault="001867C3" w:rsidP="0006272F">
      <w:pPr>
        <w:pStyle w:val="Heading1"/>
        <w:rPr>
          <w:b w:val="0"/>
          <w:bCs w:val="0"/>
          <w:sz w:val="24"/>
        </w:rPr>
      </w:pPr>
      <w:r>
        <w:t xml:space="preserve">How to populate columns in the </w:t>
      </w:r>
      <w:r w:rsidR="00A43AD5">
        <w:t xml:space="preserve">AER </w:t>
      </w:r>
      <w:r>
        <w:t>spreadsheet</w:t>
      </w:r>
      <w:r>
        <w:br/>
      </w:r>
      <w:r w:rsidRPr="0006272F">
        <w:rPr>
          <w:b w:val="0"/>
          <w:bCs w:val="0"/>
          <w:sz w:val="24"/>
        </w:rPr>
        <w:br/>
      </w:r>
      <w:proofErr w:type="gramStart"/>
      <w:r w:rsidR="00E900BC" w:rsidRPr="0006272F">
        <w:rPr>
          <w:b w:val="0"/>
          <w:bCs w:val="0"/>
          <w:sz w:val="24"/>
        </w:rPr>
        <w:t>The</w:t>
      </w:r>
      <w:proofErr w:type="gramEnd"/>
      <w:r w:rsidR="00E900BC" w:rsidRPr="0006272F">
        <w:rPr>
          <w:b w:val="0"/>
          <w:bCs w:val="0"/>
          <w:sz w:val="24"/>
        </w:rPr>
        <w:t xml:space="preserve"> following describes how to include transactions in various</w:t>
      </w:r>
      <w:r w:rsidR="00E900BC" w:rsidRPr="0006272F">
        <w:t xml:space="preserve"> </w:t>
      </w:r>
      <w:r w:rsidR="00E900BC" w:rsidRPr="0006272F">
        <w:rPr>
          <w:b w:val="0"/>
          <w:bCs w:val="0"/>
          <w:sz w:val="24"/>
        </w:rPr>
        <w:t>columns of the AER.</w:t>
      </w:r>
    </w:p>
    <w:p w:rsidR="00E900BC" w:rsidRDefault="00E900BC" w:rsidP="00E900BC"/>
    <w:p w:rsidR="001867C3" w:rsidRDefault="001867C3" w:rsidP="001867C3">
      <w:pPr>
        <w:pStyle w:val="Heading2"/>
      </w:pPr>
      <w:r>
        <w:t>Admin Details</w:t>
      </w:r>
    </w:p>
    <w:p w:rsidR="001867C3" w:rsidRDefault="001867C3" w:rsidP="00E900BC">
      <w:r>
        <w:t>The</w:t>
      </w:r>
      <w:r w:rsidR="00D737C4">
        <w:t xml:space="preserve"> admin details </w:t>
      </w:r>
      <w:r>
        <w:t xml:space="preserve">include: </w:t>
      </w:r>
    </w:p>
    <w:p w:rsidR="009A0DDF" w:rsidRDefault="001867C3" w:rsidP="001867C3">
      <w:pPr>
        <w:pStyle w:val="ListParagraph"/>
        <w:numPr>
          <w:ilvl w:val="0"/>
          <w:numId w:val="4"/>
        </w:numPr>
      </w:pPr>
      <w:bookmarkStart w:id="1" w:name="_Toc102797973"/>
      <w:r w:rsidRPr="001867C3">
        <w:t>Administration type</w:t>
      </w:r>
      <w:r>
        <w:br/>
      </w:r>
      <w:r w:rsidR="009A0DDF">
        <w:br/>
      </w:r>
      <w:r>
        <w:t xml:space="preserve">AFSA uses </w:t>
      </w:r>
      <w:r w:rsidR="000A6178">
        <w:t>a</w:t>
      </w:r>
      <w:r>
        <w:t xml:space="preserve"> </w:t>
      </w:r>
      <w:r w:rsidR="000A6178">
        <w:t>coding</w:t>
      </w:r>
      <w:r>
        <w:t xml:space="preserve"> </w:t>
      </w:r>
      <w:r w:rsidR="009A0DDF">
        <w:t xml:space="preserve">system </w:t>
      </w:r>
      <w:r>
        <w:t xml:space="preserve">for </w:t>
      </w:r>
      <w:r w:rsidR="009A0DDF">
        <w:t xml:space="preserve">each </w:t>
      </w:r>
      <w:r>
        <w:t>type of admin</w:t>
      </w:r>
      <w:r w:rsidR="000A6178">
        <w:t xml:space="preserve">. </w:t>
      </w:r>
      <w:r w:rsidR="00624AA2">
        <w:t xml:space="preserve">Here are </w:t>
      </w:r>
      <w:r w:rsidR="000A6178">
        <w:t>the ways Insolvency reports the admin type</w:t>
      </w:r>
      <w:r w:rsidR="00624AA2">
        <w:t xml:space="preserve">: </w:t>
      </w:r>
      <w:r w:rsidR="00624AA2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812"/>
      </w:tblGrid>
      <w:tr w:rsidR="009A0DDF" w:rsidTr="009A0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27" w:type="dxa"/>
          </w:tcPr>
          <w:p w:rsidR="009A0DDF" w:rsidRDefault="009A0DDF" w:rsidP="009A0DDF">
            <w:r>
              <w:t>ASFA Type</w:t>
            </w:r>
          </w:p>
        </w:tc>
        <w:tc>
          <w:tcPr>
            <w:tcW w:w="5812" w:type="dxa"/>
          </w:tcPr>
          <w:p w:rsidR="009A0DDF" w:rsidRDefault="009A0DDF" w:rsidP="009A0DDF">
            <w:r>
              <w:t>Description</w:t>
            </w:r>
          </w:p>
        </w:tc>
      </w:tr>
      <w:tr w:rsidR="009A0DDF" w:rsidTr="009A0DDF">
        <w:tc>
          <w:tcPr>
            <w:tcW w:w="1827" w:type="dxa"/>
          </w:tcPr>
          <w:p w:rsidR="009A0DDF" w:rsidRDefault="009A0DDF" w:rsidP="009A0DDF">
            <w:r w:rsidRPr="009A0DDF">
              <w:t>DP</w:t>
            </w:r>
          </w:p>
        </w:tc>
        <w:tc>
          <w:tcPr>
            <w:tcW w:w="5812" w:type="dxa"/>
          </w:tcPr>
          <w:p w:rsidR="009A0DDF" w:rsidRDefault="009A0DDF" w:rsidP="009A0DDF">
            <w:r>
              <w:t xml:space="preserve">Bankruptcy with </w:t>
            </w:r>
            <w:r w:rsidRPr="009A0DDF">
              <w:t xml:space="preserve">Debtors Petition </w:t>
            </w:r>
            <w:r>
              <w:t>Appointment Method</w:t>
            </w:r>
          </w:p>
          <w:p w:rsidR="009A0DDF" w:rsidRDefault="009A0DDF" w:rsidP="009A0DDF"/>
        </w:tc>
      </w:tr>
      <w:tr w:rsidR="009A0DDF" w:rsidTr="009A0DDF">
        <w:tc>
          <w:tcPr>
            <w:tcW w:w="1827" w:type="dxa"/>
          </w:tcPr>
          <w:p w:rsidR="009A0DDF" w:rsidRDefault="009A0DDF" w:rsidP="009A0DDF">
            <w:r w:rsidRPr="009A0DDF">
              <w:t>SEQ</w:t>
            </w:r>
          </w:p>
        </w:tc>
        <w:tc>
          <w:tcPr>
            <w:tcW w:w="5812" w:type="dxa"/>
          </w:tcPr>
          <w:p w:rsidR="009A0DDF" w:rsidRDefault="009A0DDF" w:rsidP="009A0DDF">
            <w:r>
              <w:t xml:space="preserve">Bankruptcy with </w:t>
            </w:r>
            <w:r w:rsidRPr="009A0DDF">
              <w:t xml:space="preserve">Sequestration Order </w:t>
            </w:r>
            <w:r>
              <w:t>Appointment Method</w:t>
            </w:r>
          </w:p>
          <w:p w:rsidR="009A0DDF" w:rsidRDefault="009A0DDF" w:rsidP="009A0DDF"/>
        </w:tc>
      </w:tr>
      <w:tr w:rsidR="009A0DDF" w:rsidTr="009A0DDF">
        <w:tc>
          <w:tcPr>
            <w:tcW w:w="1827" w:type="dxa"/>
          </w:tcPr>
          <w:p w:rsidR="009A0DDF" w:rsidRDefault="009A0DDF" w:rsidP="009A0DDF">
            <w:r w:rsidRPr="009A0DDF">
              <w:t>S188</w:t>
            </w:r>
          </w:p>
        </w:tc>
        <w:tc>
          <w:tcPr>
            <w:tcW w:w="5812" w:type="dxa"/>
          </w:tcPr>
          <w:p w:rsidR="009A0DDF" w:rsidRDefault="009A0DDF" w:rsidP="009A0DDF">
            <w:r w:rsidRPr="009A0DDF">
              <w:t xml:space="preserve">Section 188 Authority </w:t>
            </w:r>
            <w:r>
              <w:t>Appointment Method</w:t>
            </w:r>
          </w:p>
          <w:p w:rsidR="009A0DDF" w:rsidRDefault="009A0DDF" w:rsidP="009A0DDF"/>
        </w:tc>
      </w:tr>
      <w:tr w:rsidR="009A0DDF" w:rsidTr="009A0DDF">
        <w:tc>
          <w:tcPr>
            <w:tcW w:w="1827" w:type="dxa"/>
          </w:tcPr>
          <w:p w:rsidR="009A0DDF" w:rsidRPr="009A0DDF" w:rsidRDefault="009A0DDF" w:rsidP="009A0DDF">
            <w:r w:rsidRPr="009A0DDF">
              <w:t>DA</w:t>
            </w:r>
          </w:p>
        </w:tc>
        <w:tc>
          <w:tcPr>
            <w:tcW w:w="5812" w:type="dxa"/>
          </w:tcPr>
          <w:p w:rsidR="009A0DDF" w:rsidRDefault="009A0DDF" w:rsidP="009A0DDF">
            <w:r w:rsidRPr="009A0DDF">
              <w:t xml:space="preserve">Part IX - Debt Agreement </w:t>
            </w:r>
            <w:r>
              <w:t>Job Type</w:t>
            </w:r>
          </w:p>
          <w:p w:rsidR="009A0DDF" w:rsidRDefault="009A0DDF" w:rsidP="009A0DDF"/>
        </w:tc>
      </w:tr>
      <w:tr w:rsidR="009A0DDF" w:rsidTr="009A0DDF">
        <w:tc>
          <w:tcPr>
            <w:tcW w:w="1827" w:type="dxa"/>
          </w:tcPr>
          <w:p w:rsidR="009A0DDF" w:rsidRPr="009A0DDF" w:rsidRDefault="009A0DDF" w:rsidP="009A0DDF">
            <w:r w:rsidRPr="009A0DDF">
              <w:t>ASSIGN</w:t>
            </w:r>
          </w:p>
          <w:p w:rsidR="009A0DDF" w:rsidRPr="009A0DDF" w:rsidRDefault="009A0DDF" w:rsidP="009A0DDF"/>
        </w:tc>
        <w:tc>
          <w:tcPr>
            <w:tcW w:w="5812" w:type="dxa"/>
          </w:tcPr>
          <w:p w:rsidR="009A0DDF" w:rsidRDefault="009A0DDF" w:rsidP="009A0DDF">
            <w:r w:rsidRPr="009A0DDF">
              <w:t xml:space="preserve">Part X - Deed of Assignment </w:t>
            </w:r>
            <w:r>
              <w:t>Job Type</w:t>
            </w:r>
          </w:p>
        </w:tc>
      </w:tr>
      <w:tr w:rsidR="009A0DDF" w:rsidTr="009A0DDF">
        <w:tc>
          <w:tcPr>
            <w:tcW w:w="1827" w:type="dxa"/>
          </w:tcPr>
          <w:p w:rsidR="009A0DDF" w:rsidRPr="009A0DDF" w:rsidRDefault="009A0DDF" w:rsidP="009A0DDF">
            <w:r w:rsidRPr="009A0DDF">
              <w:t>ARRANGE</w:t>
            </w:r>
          </w:p>
          <w:p w:rsidR="009A0DDF" w:rsidRPr="009A0DDF" w:rsidRDefault="009A0DDF" w:rsidP="009A0DDF"/>
        </w:tc>
        <w:tc>
          <w:tcPr>
            <w:tcW w:w="5812" w:type="dxa"/>
          </w:tcPr>
          <w:p w:rsidR="009A0DDF" w:rsidRDefault="009A0DDF" w:rsidP="009A0DDF">
            <w:r w:rsidRPr="009A0DDF">
              <w:t xml:space="preserve">Part X - Deed of Arrangement </w:t>
            </w:r>
            <w:r>
              <w:t>Job Type</w:t>
            </w:r>
          </w:p>
        </w:tc>
      </w:tr>
      <w:tr w:rsidR="009A0DDF" w:rsidTr="009A0DDF">
        <w:tc>
          <w:tcPr>
            <w:tcW w:w="1827" w:type="dxa"/>
          </w:tcPr>
          <w:p w:rsidR="009A0DDF" w:rsidRPr="009A0DDF" w:rsidRDefault="009A0DDF" w:rsidP="009A0DDF">
            <w:r w:rsidRPr="009A0DDF">
              <w:t>COMP</w:t>
            </w:r>
          </w:p>
          <w:p w:rsidR="009A0DDF" w:rsidRPr="009A0DDF" w:rsidRDefault="009A0DDF" w:rsidP="009A0DDF"/>
        </w:tc>
        <w:tc>
          <w:tcPr>
            <w:tcW w:w="5812" w:type="dxa"/>
          </w:tcPr>
          <w:p w:rsidR="009A0DDF" w:rsidRDefault="009A0DDF" w:rsidP="009A0DDF">
            <w:r w:rsidRPr="009A0DDF">
              <w:t xml:space="preserve">Part X - Composition </w:t>
            </w:r>
            <w:r>
              <w:t>Job Type</w:t>
            </w:r>
          </w:p>
        </w:tc>
      </w:tr>
      <w:tr w:rsidR="009A0DDF" w:rsidTr="009A0DDF">
        <w:tc>
          <w:tcPr>
            <w:tcW w:w="1827" w:type="dxa"/>
          </w:tcPr>
          <w:p w:rsidR="009A0DDF" w:rsidRPr="009A0DDF" w:rsidRDefault="009A0DDF" w:rsidP="009A0DDF">
            <w:r w:rsidRPr="009A0DDF">
              <w:t>PIA</w:t>
            </w:r>
          </w:p>
          <w:p w:rsidR="009A0DDF" w:rsidRPr="009A0DDF" w:rsidRDefault="009A0DDF" w:rsidP="009A0DDF"/>
        </w:tc>
        <w:tc>
          <w:tcPr>
            <w:tcW w:w="5812" w:type="dxa"/>
          </w:tcPr>
          <w:p w:rsidR="009A0DDF" w:rsidRDefault="009A0DDF" w:rsidP="009A0DDF">
            <w:r w:rsidRPr="009A0DDF">
              <w:t xml:space="preserve">Execution of PIA </w:t>
            </w:r>
            <w:r>
              <w:t xml:space="preserve">Appointment Method or </w:t>
            </w:r>
            <w:r w:rsidRPr="009A0DDF">
              <w:t xml:space="preserve">Part X - Personal Insolvency Agreement </w:t>
            </w:r>
            <w:r>
              <w:t>Job Type</w:t>
            </w:r>
          </w:p>
          <w:p w:rsidR="009A0DDF" w:rsidRDefault="009A0DDF" w:rsidP="009A0DDF"/>
        </w:tc>
      </w:tr>
      <w:tr w:rsidR="009A0DDF" w:rsidTr="009A0DDF">
        <w:tc>
          <w:tcPr>
            <w:tcW w:w="1827" w:type="dxa"/>
          </w:tcPr>
          <w:p w:rsidR="009A0DDF" w:rsidRPr="009A0DDF" w:rsidRDefault="009A0DDF" w:rsidP="009A0DDF">
            <w:r w:rsidRPr="009A0DDF">
              <w:t>XI</w:t>
            </w:r>
          </w:p>
          <w:p w:rsidR="009A0DDF" w:rsidRPr="009A0DDF" w:rsidRDefault="009A0DDF" w:rsidP="009A0DDF"/>
        </w:tc>
        <w:tc>
          <w:tcPr>
            <w:tcW w:w="5812" w:type="dxa"/>
          </w:tcPr>
          <w:p w:rsidR="009A0DDF" w:rsidRDefault="009A0DDF" w:rsidP="009A0DDF">
            <w:r w:rsidRPr="009A0DDF">
              <w:t xml:space="preserve">Part XI - Deceased Estate </w:t>
            </w:r>
            <w:r>
              <w:t>Job Type</w:t>
            </w:r>
          </w:p>
        </w:tc>
      </w:tr>
    </w:tbl>
    <w:p w:rsidR="001867C3" w:rsidRDefault="000A6178" w:rsidP="009A0DDF">
      <w:pPr>
        <w:ind w:left="360"/>
      </w:pPr>
      <w:r>
        <w:br/>
        <w:t>This field is validated when uploading files to AFSA.</w:t>
      </w:r>
    </w:p>
    <w:p w:rsidR="009A0DDF" w:rsidRDefault="009A0DDF" w:rsidP="009A0DDF"/>
    <w:p w:rsidR="001867C3" w:rsidRDefault="001867C3" w:rsidP="001867C3">
      <w:pPr>
        <w:pStyle w:val="ListParagraph"/>
        <w:numPr>
          <w:ilvl w:val="0"/>
          <w:numId w:val="4"/>
        </w:numPr>
      </w:pPr>
      <w:r w:rsidRPr="001867C3">
        <w:t>Administration state</w:t>
      </w:r>
    </w:p>
    <w:p w:rsidR="001867C3" w:rsidRDefault="001867C3" w:rsidP="001867C3">
      <w:pPr>
        <w:pStyle w:val="ListParagraph"/>
        <w:numPr>
          <w:ilvl w:val="0"/>
          <w:numId w:val="4"/>
        </w:numPr>
      </w:pPr>
      <w:r w:rsidRPr="001867C3">
        <w:t>Administration number</w:t>
      </w:r>
    </w:p>
    <w:p w:rsidR="00624AA2" w:rsidRDefault="001867C3" w:rsidP="00624AA2">
      <w:pPr>
        <w:pStyle w:val="ListParagraph"/>
        <w:numPr>
          <w:ilvl w:val="0"/>
          <w:numId w:val="4"/>
        </w:numPr>
      </w:pPr>
      <w:r w:rsidRPr="001867C3">
        <w:t>Administration year</w:t>
      </w:r>
    </w:p>
    <w:p w:rsidR="00624AA2" w:rsidRDefault="00624AA2" w:rsidP="00624AA2">
      <w:pPr>
        <w:pStyle w:val="ListParagraph"/>
        <w:numPr>
          <w:ilvl w:val="0"/>
          <w:numId w:val="4"/>
        </w:numPr>
      </w:pPr>
      <w:r w:rsidRPr="001867C3">
        <w:t>Administration check digit</w:t>
      </w:r>
    </w:p>
    <w:p w:rsidR="00624AA2" w:rsidRDefault="00624AA2" w:rsidP="00624AA2">
      <w:pPr>
        <w:pStyle w:val="ListParagraph"/>
      </w:pPr>
      <w:r>
        <w:br/>
        <w:t>There are entered when the job is first set up, but may be amended. This is what determines how the admin is matched to AFSA records.</w:t>
      </w:r>
      <w:r>
        <w:br/>
      </w:r>
      <w:r>
        <w:br/>
      </w:r>
      <w:r>
        <w:lastRenderedPageBreak/>
        <w:t xml:space="preserve">You can amend the </w:t>
      </w:r>
      <w:r w:rsidRPr="001867C3">
        <w:t>Administration</w:t>
      </w:r>
      <w:r>
        <w:t xml:space="preserve"> (matter) details on the personal information tab:</w:t>
      </w:r>
    </w:p>
    <w:p w:rsidR="001867C3" w:rsidRDefault="00624AA2" w:rsidP="00624AA2">
      <w:pPr>
        <w:pStyle w:val="ListParagraph"/>
      </w:pPr>
      <w:r>
        <w:br/>
      </w:r>
      <w:r>
        <w:rPr>
          <w:noProof/>
          <w:lang w:eastAsia="en-AU"/>
        </w:rPr>
        <w:drawing>
          <wp:inline distT="0" distB="0" distL="0" distR="0" wp14:anchorId="1C21C9DD" wp14:editId="46566D4C">
            <wp:extent cx="3600450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  <w:t xml:space="preserve">If you have separate jobs entered into the system for joint admins then you may combine the reporting together if you replicate all the same matter details. </w:t>
      </w:r>
      <w:r>
        <w:br/>
      </w:r>
    </w:p>
    <w:p w:rsidR="001867C3" w:rsidRDefault="001867C3" w:rsidP="001867C3">
      <w:pPr>
        <w:pStyle w:val="ListParagraph"/>
        <w:numPr>
          <w:ilvl w:val="0"/>
          <w:numId w:val="4"/>
        </w:numPr>
      </w:pPr>
      <w:r w:rsidRPr="001867C3">
        <w:t>Debtor given name</w:t>
      </w:r>
    </w:p>
    <w:p w:rsidR="001867C3" w:rsidRDefault="001867C3" w:rsidP="001867C3">
      <w:pPr>
        <w:pStyle w:val="ListParagraph"/>
        <w:numPr>
          <w:ilvl w:val="0"/>
          <w:numId w:val="4"/>
        </w:numPr>
      </w:pPr>
      <w:r w:rsidRPr="001867C3">
        <w:t>Debtor surname</w:t>
      </w:r>
    </w:p>
    <w:p w:rsidR="00B4779B" w:rsidRDefault="00624AA2" w:rsidP="00624AA2">
      <w:pPr>
        <w:ind w:left="720"/>
      </w:pPr>
      <w:r>
        <w:br/>
        <w:t>This is the first listed debtor (for joint administrations). The names provided here are irrelevant for electronic submission. It is the ma</w:t>
      </w:r>
      <w:r w:rsidR="00B4779B">
        <w:t>tter details that are relevant.</w:t>
      </w:r>
    </w:p>
    <w:p w:rsidR="00B4779B" w:rsidRDefault="00B4779B" w:rsidP="00624AA2">
      <w:pPr>
        <w:ind w:left="720"/>
      </w:pPr>
    </w:p>
    <w:p w:rsidR="00066ACD" w:rsidRDefault="00066ACD" w:rsidP="00066ACD">
      <w:pPr>
        <w:pStyle w:val="Heading2"/>
      </w:pPr>
      <w:r>
        <w:t>Finalised Admins</w:t>
      </w:r>
    </w:p>
    <w:p w:rsidR="00066ACD" w:rsidRDefault="001D5A4C" w:rsidP="001D5A4C">
      <w:r>
        <w:t xml:space="preserve">Enter the </w:t>
      </w:r>
      <w:r w:rsidRPr="001D5A4C">
        <w:rPr>
          <w:b/>
          <w:i/>
        </w:rPr>
        <w:t>End Date</w:t>
      </w:r>
      <w:r>
        <w:t xml:space="preserve"> for a job to populate the finalised date on the AER output.</w:t>
      </w:r>
    </w:p>
    <w:p w:rsidR="001D5A4C" w:rsidRDefault="001D5A4C" w:rsidP="001D5A4C"/>
    <w:p w:rsidR="001D5A4C" w:rsidRDefault="008A52AB" w:rsidP="001D5A4C">
      <w:pPr>
        <w:pStyle w:val="Heading2"/>
      </w:pPr>
      <w:r>
        <w:t>To e</w:t>
      </w:r>
      <w:r w:rsidR="001D5A4C">
        <w:t>xclude an Admin fr</w:t>
      </w:r>
      <w:r>
        <w:t>o</w:t>
      </w:r>
      <w:r w:rsidR="001D5A4C">
        <w:t>m the AER</w:t>
      </w:r>
    </w:p>
    <w:p w:rsidR="001D5A4C" w:rsidRDefault="001D5A4C" w:rsidP="001D5A4C">
      <w:r>
        <w:t xml:space="preserve">Set a job to </w:t>
      </w:r>
      <w:r w:rsidRPr="001D5A4C">
        <w:rPr>
          <w:b/>
          <w:i/>
        </w:rPr>
        <w:t>inactive</w:t>
      </w:r>
      <w:r>
        <w:t xml:space="preserve"> to exclude a job from the AER output. </w:t>
      </w:r>
    </w:p>
    <w:p w:rsidR="001D5A4C" w:rsidRDefault="001D5A4C" w:rsidP="001D5A4C"/>
    <w:p w:rsidR="008A52AB" w:rsidRDefault="008A52AB">
      <w:pPr>
        <w:rPr>
          <w:rFonts w:ascii="Arial" w:hAnsi="Arial" w:cs="Arial"/>
          <w:b/>
          <w:bCs/>
          <w:i/>
          <w:iCs/>
          <w:szCs w:val="28"/>
        </w:rPr>
      </w:pPr>
      <w:r>
        <w:br w:type="page"/>
      </w:r>
    </w:p>
    <w:p w:rsidR="00B4779B" w:rsidRDefault="00B4779B" w:rsidP="00B4779B">
      <w:pPr>
        <w:pStyle w:val="Heading2"/>
      </w:pPr>
      <w:r>
        <w:lastRenderedPageBreak/>
        <w:t>Selection of Appointee</w:t>
      </w:r>
    </w:p>
    <w:p w:rsidR="00B4779B" w:rsidRDefault="00B4779B" w:rsidP="00B4779B">
      <w:r>
        <w:t>As each admin is linked to a single appointee’s registration</w:t>
      </w:r>
      <w:r w:rsidR="001D5A4C">
        <w:t>,</w:t>
      </w:r>
      <w:r>
        <w:t xml:space="preserve"> </w:t>
      </w:r>
      <w:r w:rsidR="001D5A4C">
        <w:t>y</w:t>
      </w:r>
      <w:r>
        <w:t>ou need to select the Appointee listed as the Number 1 appointee on a job when producing the spreadsheet.</w:t>
      </w:r>
    </w:p>
    <w:p w:rsidR="00B4779B" w:rsidRDefault="00B4779B" w:rsidP="00B4779B"/>
    <w:p w:rsidR="001867C3" w:rsidRDefault="00B4779B" w:rsidP="00624AA2">
      <w:pPr>
        <w:ind w:left="720"/>
      </w:pPr>
      <w:r>
        <w:rPr>
          <w:noProof/>
          <w:lang w:eastAsia="en-AU"/>
        </w:rPr>
        <w:drawing>
          <wp:inline distT="0" distB="0" distL="0" distR="0" wp14:anchorId="7EC938EB" wp14:editId="0DFD6A26">
            <wp:extent cx="5274310" cy="203835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AA2">
        <w:br/>
      </w:r>
    </w:p>
    <w:p w:rsidR="00E515F2" w:rsidRDefault="00E515F2" w:rsidP="00E515F2">
      <w:pPr>
        <w:pStyle w:val="Heading2"/>
      </w:pPr>
      <w:r>
        <w:t>Editing the Appointee</w:t>
      </w:r>
      <w:r w:rsidR="00F142D7">
        <w:t xml:space="preserve"> Number</w:t>
      </w:r>
    </w:p>
    <w:p w:rsidR="00B4779B" w:rsidRDefault="00B4779B" w:rsidP="00B4779B">
      <w:r>
        <w:t xml:space="preserve">You may edit the appointee number in the General &gt; </w:t>
      </w:r>
      <w:r w:rsidRPr="00B4779B">
        <w:rPr>
          <w:b/>
          <w:i/>
        </w:rPr>
        <w:t>Appointment</w:t>
      </w:r>
      <w:r>
        <w:t xml:space="preserve"> tab.</w:t>
      </w:r>
    </w:p>
    <w:p w:rsidR="006C3EEF" w:rsidRDefault="006C3EEF" w:rsidP="00B4779B"/>
    <w:p w:rsidR="00E515F2" w:rsidRDefault="00E515F2" w:rsidP="00E515F2">
      <w:pPr>
        <w:ind w:firstLine="720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6F6A0F88" wp14:editId="2B6A3E73">
            <wp:extent cx="3143250" cy="12858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F2" w:rsidRDefault="00E515F2" w:rsidP="00E515F2">
      <w:pPr>
        <w:ind w:firstLine="720"/>
        <w:rPr>
          <w:noProof/>
          <w:lang w:eastAsia="en-AU"/>
        </w:rPr>
      </w:pPr>
    </w:p>
    <w:p w:rsidR="00E515F2" w:rsidRDefault="00E515F2" w:rsidP="00E515F2">
      <w:pPr>
        <w:ind w:left="720"/>
      </w:pPr>
      <w:r>
        <w:rPr>
          <w:noProof/>
          <w:lang w:eastAsia="en-AU"/>
        </w:rPr>
        <w:t>When you set the appointee number to Number 1 the software automatically renumbers all other appointees.</w:t>
      </w:r>
    </w:p>
    <w:p w:rsidR="00E515F2" w:rsidRDefault="00E515F2" w:rsidP="00B4779B"/>
    <w:p w:rsidR="006C3EEF" w:rsidRDefault="006C3EEF" w:rsidP="006C3EEF">
      <w:pPr>
        <w:pStyle w:val="Heading2"/>
      </w:pPr>
      <w:r>
        <w:t>User Details – Liquidator Registration Number</w:t>
      </w:r>
    </w:p>
    <w:p w:rsidR="00E515F2" w:rsidRPr="00E515F2" w:rsidRDefault="00E515F2" w:rsidP="00E515F2">
      <w:r>
        <w:t>Edit the user record to ensure the registration number is correct.</w:t>
      </w:r>
    </w:p>
    <w:p w:rsidR="006C3EEF" w:rsidRDefault="006C3EEF" w:rsidP="00DD5E7B">
      <w:pPr>
        <w:ind w:firstLine="720"/>
      </w:pPr>
      <w:r>
        <w:rPr>
          <w:noProof/>
          <w:lang w:eastAsia="en-AU"/>
        </w:rPr>
        <w:drawing>
          <wp:inline distT="0" distB="0" distL="0" distR="0" wp14:anchorId="46AA8BDC" wp14:editId="43B70A08">
            <wp:extent cx="3086100" cy="20097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79B" w:rsidRDefault="00B4779B" w:rsidP="00624AA2">
      <w:pPr>
        <w:ind w:left="720"/>
      </w:pPr>
    </w:p>
    <w:p w:rsidR="001D5A4C" w:rsidRDefault="001D5A4C">
      <w:pPr>
        <w:rPr>
          <w:b/>
          <w:bCs/>
          <w:sz w:val="28"/>
        </w:rPr>
      </w:pPr>
      <w:r>
        <w:br w:type="page"/>
      </w:r>
    </w:p>
    <w:p w:rsidR="00B4779B" w:rsidRDefault="00B4779B" w:rsidP="00B4779B">
      <w:pPr>
        <w:pStyle w:val="Heading1"/>
      </w:pPr>
      <w:r>
        <w:lastRenderedPageBreak/>
        <w:t xml:space="preserve">Receipts </w:t>
      </w:r>
    </w:p>
    <w:p w:rsidR="00B4779B" w:rsidRPr="001867C3" w:rsidRDefault="00B4779B" w:rsidP="00B4779B"/>
    <w:p w:rsidR="00B4779B" w:rsidRDefault="00B4779B" w:rsidP="00B4779B">
      <w:bookmarkStart w:id="2" w:name="_Toc102797981"/>
      <w:r>
        <w:t>An explanation of how to populate the receipt columns.</w:t>
      </w:r>
    </w:p>
    <w:p w:rsidR="00B4779B" w:rsidRPr="003D526A" w:rsidRDefault="00B4779B" w:rsidP="00B4779B"/>
    <w:p w:rsidR="00B4779B" w:rsidRDefault="00B4779B" w:rsidP="00B4779B">
      <w:pPr>
        <w:pStyle w:val="Heading2"/>
      </w:pPr>
      <w:r>
        <w:rPr>
          <w:noProof/>
          <w:lang w:eastAsia="en-AU"/>
        </w:rPr>
        <w:drawing>
          <wp:inline distT="0" distB="0" distL="0" distR="0" wp14:anchorId="69646B45" wp14:editId="4C742629">
            <wp:extent cx="5274310" cy="15062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8A9" w:rsidRDefault="00B4779B" w:rsidP="00B4779B">
      <w:pPr>
        <w:pStyle w:val="Heading2"/>
      </w:pPr>
      <w:r>
        <w:br/>
      </w:r>
      <w:r w:rsidR="00C678A9">
        <w:t>Funds Transferred from another Trustee</w:t>
      </w:r>
      <w:bookmarkEnd w:id="2"/>
      <w:r w:rsidR="00252742">
        <w:t xml:space="preserve"> (9)</w:t>
      </w:r>
    </w:p>
    <w:p w:rsidR="00C678A9" w:rsidRDefault="00C678A9" w:rsidP="00C678A9">
      <w:r>
        <w:t xml:space="preserve">Includes transactions (receipts) coded to the </w:t>
      </w:r>
      <w:r w:rsidRPr="006D0F5F">
        <w:rPr>
          <w:b/>
        </w:rPr>
        <w:t>Funds Received from Preceding Trustee</w:t>
      </w:r>
      <w:r>
        <w:t xml:space="preserve"> account.</w:t>
      </w:r>
    </w:p>
    <w:p w:rsidR="003D526A" w:rsidRDefault="003D526A" w:rsidP="003D526A"/>
    <w:bookmarkEnd w:id="1"/>
    <w:p w:rsidR="00E900BC" w:rsidRDefault="003D526A" w:rsidP="003D526A">
      <w:pPr>
        <w:pStyle w:val="Heading2"/>
      </w:pPr>
      <w:r w:rsidRPr="003D526A">
        <w:t>Gross sale price of assets</w:t>
      </w:r>
      <w:r>
        <w:t xml:space="preserve"> (10)</w:t>
      </w:r>
    </w:p>
    <w:p w:rsidR="00952252" w:rsidRDefault="00CD68B0" w:rsidP="00E900BC">
      <w:r>
        <w:t xml:space="preserve">The </w:t>
      </w:r>
      <w:r w:rsidR="00952252">
        <w:t>following entries will appear in this column:</w:t>
      </w:r>
      <w:r w:rsidR="00E900BC">
        <w:t xml:space="preserve"> </w:t>
      </w:r>
    </w:p>
    <w:p w:rsidR="00952252" w:rsidRDefault="00E900BC" w:rsidP="00952252">
      <w:pPr>
        <w:pStyle w:val="ListParagraph"/>
        <w:numPr>
          <w:ilvl w:val="0"/>
          <w:numId w:val="5"/>
        </w:numPr>
      </w:pPr>
      <w:r>
        <w:t xml:space="preserve">Asset Realisations </w:t>
      </w:r>
      <w:r w:rsidR="00CD68B0">
        <w:t>(</w:t>
      </w:r>
      <w:r w:rsidR="003D526A">
        <w:t xml:space="preserve">realised through the </w:t>
      </w:r>
      <w:r w:rsidR="00CD68B0">
        <w:t xml:space="preserve">Asset register) </w:t>
      </w:r>
      <w:r w:rsidR="003D526A">
        <w:t xml:space="preserve">plus </w:t>
      </w:r>
    </w:p>
    <w:p w:rsidR="00E900BC" w:rsidRDefault="00952252" w:rsidP="00952252">
      <w:pPr>
        <w:pStyle w:val="ListParagraph"/>
        <w:numPr>
          <w:ilvl w:val="0"/>
          <w:numId w:val="5"/>
        </w:numPr>
      </w:pPr>
      <w:r>
        <w:t>A</w:t>
      </w:r>
      <w:r w:rsidR="00CD68B0">
        <w:t xml:space="preserve">ny </w:t>
      </w:r>
      <w:r w:rsidR="003D526A">
        <w:t xml:space="preserve">net </w:t>
      </w:r>
      <w:r w:rsidR="00CD68B0">
        <w:t xml:space="preserve">receipts </w:t>
      </w:r>
      <w:r w:rsidR="003D526A">
        <w:t xml:space="preserve">coded to </w:t>
      </w:r>
      <w:r w:rsidR="00387D83">
        <w:t xml:space="preserve">the </w:t>
      </w:r>
      <w:r w:rsidR="00CD68B0">
        <w:t xml:space="preserve">Asset </w:t>
      </w:r>
      <w:r w:rsidR="00387D83">
        <w:t>Realisations account group</w:t>
      </w:r>
      <w:r w:rsidR="003D526A">
        <w:t xml:space="preserve"> </w:t>
      </w:r>
      <w:r>
        <w:t xml:space="preserve">and allocated to an asset </w:t>
      </w:r>
    </w:p>
    <w:p w:rsidR="00E900BC" w:rsidRDefault="00E900BC" w:rsidP="00E900BC"/>
    <w:p w:rsidR="00EA1F88" w:rsidRDefault="00EA1F88" w:rsidP="00E900BC">
      <w:pPr>
        <w:rPr>
          <w:rFonts w:ascii="Arial" w:hAnsi="Arial" w:cs="Arial"/>
          <w:b/>
          <w:bCs/>
          <w:i/>
          <w:iCs/>
          <w:szCs w:val="28"/>
        </w:rPr>
      </w:pPr>
      <w:r w:rsidRPr="00EA1F88">
        <w:rPr>
          <w:rFonts w:ascii="Arial" w:hAnsi="Arial" w:cs="Arial"/>
          <w:b/>
          <w:bCs/>
          <w:i/>
          <w:iCs/>
          <w:szCs w:val="28"/>
        </w:rPr>
        <w:t>Recoveries from antecedent transactions</w:t>
      </w:r>
      <w:r>
        <w:rPr>
          <w:rFonts w:ascii="Arial" w:hAnsi="Arial" w:cs="Arial"/>
          <w:b/>
          <w:bCs/>
          <w:i/>
          <w:iCs/>
          <w:szCs w:val="28"/>
        </w:rPr>
        <w:t xml:space="preserve"> (11)</w:t>
      </w:r>
    </w:p>
    <w:p w:rsidR="00EA1F88" w:rsidRDefault="00EA1F88" w:rsidP="00E900BC"/>
    <w:p w:rsidR="00687624" w:rsidRDefault="00687624" w:rsidP="00E900BC">
      <w:r>
        <w:t>The total of all asset realisations for the asset group “</w:t>
      </w:r>
      <w:r w:rsidR="00E900BC">
        <w:t>Recovery of Property / Preferences</w:t>
      </w:r>
      <w:r>
        <w:t>”</w:t>
      </w:r>
      <w:r w:rsidR="00E900BC">
        <w:t xml:space="preserve">.  </w:t>
      </w:r>
    </w:p>
    <w:p w:rsidR="00E900BC" w:rsidRDefault="00E900BC" w:rsidP="00E900BC">
      <w:r>
        <w:br/>
        <w:t>You must realise this asset for amounts to be updated in the AER.</w:t>
      </w:r>
      <w:r w:rsidR="00387D83">
        <w:br/>
      </w:r>
      <w:r>
        <w:br/>
        <w:t>This category of assets is unlikely to belong to the Debtor(s)’ SOA.</w:t>
      </w:r>
    </w:p>
    <w:p w:rsidR="00E900BC" w:rsidRDefault="00E900BC" w:rsidP="00E900BC"/>
    <w:p w:rsidR="00E900BC" w:rsidRDefault="00C678A9" w:rsidP="00E900BC">
      <w:pPr>
        <w:pStyle w:val="Heading2"/>
      </w:pPr>
      <w:bookmarkStart w:id="3" w:name="_Toc102797975"/>
      <w:r w:rsidRPr="00C678A9">
        <w:t>Contributions collected</w:t>
      </w:r>
      <w:r>
        <w:t xml:space="preserve"> (12)</w:t>
      </w:r>
      <w:r w:rsidR="004B673A" w:rsidRPr="004B673A">
        <w:t xml:space="preserve"> </w:t>
      </w:r>
      <w:bookmarkEnd w:id="3"/>
    </w:p>
    <w:p w:rsidR="00E900BC" w:rsidRDefault="00E900BC" w:rsidP="00E900BC"/>
    <w:p w:rsidR="00E900BC" w:rsidRDefault="00E900BC" w:rsidP="00E900BC">
      <w:r>
        <w:t>Transactions (receipts) coded to the Debtor Contributions (Mandatory)</w:t>
      </w:r>
      <w:r w:rsidR="00387D83">
        <w:t xml:space="preserve"> account</w:t>
      </w:r>
      <w:r>
        <w:t xml:space="preserve">.  </w:t>
      </w:r>
      <w:r w:rsidR="00387D83">
        <w:br/>
      </w:r>
      <w:r w:rsidR="00387D83">
        <w:br/>
      </w:r>
      <w:r>
        <w:t xml:space="preserve">These transactions will be allocated to </w:t>
      </w:r>
      <w:r w:rsidR="00387D83">
        <w:t xml:space="preserve">a </w:t>
      </w:r>
      <w:r>
        <w:t xml:space="preserve">debtor contribution.  Entered on the </w:t>
      </w:r>
      <w:r>
        <w:rPr>
          <w:b/>
          <w:bCs/>
        </w:rPr>
        <w:t>Contribution</w:t>
      </w:r>
      <w:r>
        <w:t xml:space="preserve"> tab of the </w:t>
      </w:r>
      <w:r>
        <w:rPr>
          <w:b/>
          <w:bCs/>
        </w:rPr>
        <w:t>Debtor</w:t>
      </w:r>
      <w:r>
        <w:t xml:space="preserve"> record. </w:t>
      </w:r>
    </w:p>
    <w:p w:rsidR="0063160F" w:rsidRPr="0063160F" w:rsidRDefault="0063160F" w:rsidP="0063160F"/>
    <w:p w:rsidR="00E900BC" w:rsidRDefault="00E900BC" w:rsidP="00E900BC">
      <w:pPr>
        <w:pStyle w:val="Heading2"/>
      </w:pPr>
      <w:bookmarkStart w:id="4" w:name="_Toc102797976"/>
      <w:r>
        <w:t>Contributions Voluntary</w:t>
      </w:r>
      <w:bookmarkEnd w:id="4"/>
    </w:p>
    <w:p w:rsidR="00E900BC" w:rsidRDefault="00E900BC" w:rsidP="00E900BC"/>
    <w:p w:rsidR="00E900BC" w:rsidRDefault="00E900BC" w:rsidP="00E900BC">
      <w:r>
        <w:t>Transactions (receipts) coded to the Debtor Contributions (Voluntary).</w:t>
      </w:r>
    </w:p>
    <w:p w:rsidR="00E900BC" w:rsidRDefault="00E900BC" w:rsidP="00E900BC"/>
    <w:p w:rsidR="00C678A9" w:rsidRDefault="00C678A9" w:rsidP="00C678A9">
      <w:pPr>
        <w:pStyle w:val="Heading2"/>
      </w:pPr>
      <w:r w:rsidRPr="00C678A9">
        <w:t>Sec 73 Composition receipts</w:t>
      </w:r>
      <w:r>
        <w:t xml:space="preserve"> (13)</w:t>
      </w:r>
    </w:p>
    <w:p w:rsidR="00C311B9" w:rsidRDefault="00C311B9" w:rsidP="00C311B9">
      <w:r>
        <w:t>Includes transactions (receipts) coded to the Composition Funds account.</w:t>
      </w:r>
    </w:p>
    <w:p w:rsidR="00C678A9" w:rsidRDefault="00C678A9" w:rsidP="00E900BC"/>
    <w:p w:rsidR="00C311B9" w:rsidRDefault="00E900BC" w:rsidP="00C311B9">
      <w:pPr>
        <w:pStyle w:val="Heading2"/>
      </w:pPr>
      <w:bookmarkStart w:id="5" w:name="_Toc102797977"/>
      <w:r>
        <w:t>Other Receipts Realisation charge</w:t>
      </w:r>
      <w:bookmarkEnd w:id="5"/>
      <w:r w:rsidR="00C311B9">
        <w:t xml:space="preserve"> (15)</w:t>
      </w:r>
    </w:p>
    <w:p w:rsidR="00E900BC" w:rsidRDefault="00E900BC" w:rsidP="00E900BC">
      <w:r>
        <w:t>Includes other transactions with a realisation charge assigned.</w:t>
      </w:r>
      <w:r w:rsidR="00952252">
        <w:t xml:space="preserve"> Generally entries coded to the Asset Realisations account, where an asset has not been assigned to the entry.</w:t>
      </w:r>
    </w:p>
    <w:p w:rsidR="00E900BC" w:rsidRDefault="00E900BC" w:rsidP="00E900BC"/>
    <w:p w:rsidR="00E900BC" w:rsidRDefault="00E900BC" w:rsidP="00E900BC"/>
    <w:p w:rsidR="00E900BC" w:rsidRDefault="00C311B9" w:rsidP="00E900BC">
      <w:pPr>
        <w:pStyle w:val="Heading2"/>
      </w:pPr>
      <w:bookmarkStart w:id="6" w:name="_Toc102797979"/>
      <w:r>
        <w:t xml:space="preserve">Interest Earned on Estate Funds </w:t>
      </w:r>
      <w:bookmarkEnd w:id="6"/>
      <w:r>
        <w:t>(17)</w:t>
      </w:r>
    </w:p>
    <w:p w:rsidR="00E900BC" w:rsidRDefault="00E900BC" w:rsidP="00E900BC">
      <w:r>
        <w:t>Includes transactions (receipts) coded to the Interest Income (Chargeable) account.</w:t>
      </w:r>
    </w:p>
    <w:p w:rsidR="00E900BC" w:rsidRDefault="00E900BC" w:rsidP="00E900BC"/>
    <w:p w:rsidR="00E900BC" w:rsidRDefault="00E900BC" w:rsidP="00E900BC">
      <w:pPr>
        <w:pStyle w:val="Heading2"/>
      </w:pPr>
      <w:bookmarkStart w:id="7" w:name="_Toc102797980"/>
      <w:r>
        <w:t>Other Receipts</w:t>
      </w:r>
      <w:r w:rsidR="00C311B9">
        <w:t xml:space="preserve"> not subject to the </w:t>
      </w:r>
      <w:r>
        <w:t>Realisation charge</w:t>
      </w:r>
      <w:bookmarkEnd w:id="7"/>
      <w:r w:rsidR="00C311B9">
        <w:t xml:space="preserve"> (18) </w:t>
      </w:r>
    </w:p>
    <w:p w:rsidR="00E900BC" w:rsidRDefault="00E900BC" w:rsidP="00E900BC">
      <w:r>
        <w:t>Includes other transactions.</w:t>
      </w:r>
    </w:p>
    <w:p w:rsidR="00E900BC" w:rsidRDefault="00E900BC" w:rsidP="00E900BC"/>
    <w:p w:rsidR="00973E1A" w:rsidRDefault="00973E1A">
      <w:pPr>
        <w:rPr>
          <w:b/>
          <w:bCs/>
          <w:sz w:val="28"/>
        </w:rPr>
      </w:pPr>
      <w:r>
        <w:br w:type="page"/>
      </w:r>
    </w:p>
    <w:p w:rsidR="0075455B" w:rsidRDefault="0075455B" w:rsidP="0075455B">
      <w:pPr>
        <w:pStyle w:val="Heading1"/>
      </w:pPr>
      <w:r>
        <w:lastRenderedPageBreak/>
        <w:t>Payments</w:t>
      </w:r>
    </w:p>
    <w:p w:rsidR="00DB3964" w:rsidRDefault="00DB3964" w:rsidP="00DB3964"/>
    <w:p w:rsidR="00DB3964" w:rsidRDefault="00DB3964" w:rsidP="00DB3964">
      <w:r>
        <w:t>An explanation of how to populate the receipt columns.</w:t>
      </w:r>
    </w:p>
    <w:p w:rsidR="0075455B" w:rsidRDefault="0075455B" w:rsidP="00E900BC"/>
    <w:p w:rsidR="00A5273C" w:rsidRDefault="00A5273C" w:rsidP="00E900BC">
      <w:r>
        <w:rPr>
          <w:noProof/>
          <w:lang w:eastAsia="en-AU"/>
        </w:rPr>
        <w:drawing>
          <wp:inline distT="0" distB="0" distL="0" distR="0" wp14:anchorId="70A104FF" wp14:editId="4FE7BB44">
            <wp:extent cx="5274310" cy="14331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0BC" w:rsidRDefault="00E900BC" w:rsidP="00E900BC"/>
    <w:p w:rsidR="00C6031F" w:rsidRDefault="00C6031F" w:rsidP="00C6031F">
      <w:pPr>
        <w:pStyle w:val="Heading2"/>
      </w:pPr>
      <w:bookmarkStart w:id="8" w:name="_Toc102797987"/>
      <w:bookmarkStart w:id="9" w:name="_Toc102797982"/>
      <w:r>
        <w:t xml:space="preserve">Amount </w:t>
      </w:r>
      <w:r w:rsidR="00762B66">
        <w:t xml:space="preserve">paid </w:t>
      </w:r>
      <w:r>
        <w:t>to Secured Creditors</w:t>
      </w:r>
      <w:bookmarkEnd w:id="8"/>
      <w:r w:rsidR="00762B66">
        <w:t xml:space="preserve"> (20)</w:t>
      </w:r>
    </w:p>
    <w:p w:rsidR="00C6031F" w:rsidRDefault="00C6031F" w:rsidP="00C6031F">
      <w:r>
        <w:t xml:space="preserve">Includes transactions (payments) to the Secured Creditors: Claims account.  </w:t>
      </w:r>
    </w:p>
    <w:p w:rsidR="00C6031F" w:rsidRDefault="00C6031F" w:rsidP="00C6031F"/>
    <w:p w:rsidR="00C6031F" w:rsidRDefault="00C6031F" w:rsidP="00C6031F">
      <w:r>
        <w:t xml:space="preserve">Also includes costs that are subtracted from realisations (i.e. valid charge. To validly reduce the realisation charge the costs must be incurred in the same AER year as the realisation). </w:t>
      </w:r>
    </w:p>
    <w:p w:rsidR="00C6031F" w:rsidRDefault="00C6031F" w:rsidP="00C6031F"/>
    <w:p w:rsidR="00C6031F" w:rsidRDefault="00C6031F" w:rsidP="00C6031F">
      <w:r>
        <w:t>For an amount to be included</w:t>
      </w:r>
      <w:proofErr w:type="gramStart"/>
      <w:r>
        <w:t>:</w:t>
      </w:r>
      <w:proofErr w:type="gramEnd"/>
      <w:r>
        <w:br/>
        <w:t xml:space="preserve">Secured Creditors: must be coded to the </w:t>
      </w:r>
      <w:r w:rsidRPr="00B35A12">
        <w:rPr>
          <w:i/>
        </w:rPr>
        <w:t>Secured Creditors (Fixed): Claims</w:t>
      </w:r>
      <w:r>
        <w:t xml:space="preserve"> account and allocated to the creditor.</w:t>
      </w:r>
      <w:r>
        <w:br/>
      </w:r>
      <w:r>
        <w:br/>
        <w:t xml:space="preserve">Deductible Expenses: must be coded to an account belonging to the </w:t>
      </w:r>
      <w:r w:rsidRPr="00B35A12">
        <w:rPr>
          <w:i/>
        </w:rPr>
        <w:t>Costs of Realisation</w:t>
      </w:r>
      <w:r>
        <w:t xml:space="preserve"> account group and be allocated to an asset. </w:t>
      </w:r>
    </w:p>
    <w:p w:rsidR="00C6031F" w:rsidRDefault="00C6031F" w:rsidP="00C6031F"/>
    <w:p w:rsidR="00762B66" w:rsidRDefault="00762B66" w:rsidP="00E900BC">
      <w:pPr>
        <w:pStyle w:val="Heading2"/>
      </w:pPr>
      <w:r>
        <w:t>Trading Payments (21)</w:t>
      </w:r>
    </w:p>
    <w:p w:rsidR="00762B66" w:rsidRDefault="00762B66" w:rsidP="00762B66">
      <w:r>
        <w:t xml:space="preserve">Includes any entries codes to </w:t>
      </w:r>
      <w:r w:rsidR="00973E1A">
        <w:t xml:space="preserve">the </w:t>
      </w:r>
      <w:r>
        <w:t>trading payments account group.</w:t>
      </w:r>
    </w:p>
    <w:p w:rsidR="00762B66" w:rsidRPr="00762B66" w:rsidRDefault="00762B66" w:rsidP="00762B66"/>
    <w:p w:rsidR="00041417" w:rsidRDefault="00041417" w:rsidP="00041417">
      <w:pPr>
        <w:pStyle w:val="Heading2"/>
      </w:pPr>
      <w:r w:rsidRPr="00F65178">
        <w:t>Costs of administering the estate</w:t>
      </w:r>
      <w:r>
        <w:t xml:space="preserve"> (22)</w:t>
      </w:r>
    </w:p>
    <w:p w:rsidR="00041417" w:rsidRDefault="00041417" w:rsidP="00041417">
      <w:r>
        <w:t>Total of all payments to Trustee’s Costs accounts and sub-accounts not allocated to assets (Including paid accounts payable entries on a cash basis) and including GST.</w:t>
      </w:r>
    </w:p>
    <w:p w:rsidR="00041417" w:rsidRDefault="00041417" w:rsidP="00E900BC">
      <w:pPr>
        <w:pStyle w:val="Heading2"/>
      </w:pPr>
    </w:p>
    <w:p w:rsidR="00041417" w:rsidRDefault="00041417" w:rsidP="00041417">
      <w:pPr>
        <w:pStyle w:val="Heading2"/>
      </w:pPr>
      <w:bookmarkStart w:id="10" w:name="_Toc102797988"/>
      <w:r>
        <w:t>Trustee’s Remuneration</w:t>
      </w:r>
      <w:bookmarkEnd w:id="10"/>
      <w:r>
        <w:t xml:space="preserve"> (23)</w:t>
      </w:r>
    </w:p>
    <w:p w:rsidR="00041417" w:rsidRDefault="00041417" w:rsidP="00041417">
      <w:r>
        <w:t>Total of all payments to Trustee’s Fees account and sub-accounts (including paid accounts payable entries on a cash basis) including GST.</w:t>
      </w:r>
    </w:p>
    <w:p w:rsidR="00041417" w:rsidRDefault="00041417" w:rsidP="00E900BC">
      <w:pPr>
        <w:pStyle w:val="Heading2"/>
      </w:pPr>
    </w:p>
    <w:p w:rsidR="00041417" w:rsidRDefault="00041417" w:rsidP="00041417">
      <w:pPr>
        <w:pStyle w:val="Heading2"/>
      </w:pPr>
      <w:bookmarkStart w:id="11" w:name="_Toc102797992"/>
      <w:r>
        <w:t>Dividends</w:t>
      </w:r>
      <w:bookmarkEnd w:id="11"/>
      <w:r>
        <w:t xml:space="preserve"> paid to creditors (24)</w:t>
      </w:r>
    </w:p>
    <w:p w:rsidR="00041417" w:rsidRDefault="00041417" w:rsidP="00041417">
      <w:r>
        <w:t>Total of All Dividends paid.</w:t>
      </w:r>
    </w:p>
    <w:p w:rsidR="00041417" w:rsidRDefault="00041417" w:rsidP="00041417"/>
    <w:p w:rsidR="00041417" w:rsidRDefault="00041417" w:rsidP="00041417">
      <w:r>
        <w:t>This excludes petitioner’s costs.</w:t>
      </w:r>
    </w:p>
    <w:p w:rsidR="002C1455" w:rsidRDefault="002C1455" w:rsidP="002C1455"/>
    <w:p w:rsidR="002C1455" w:rsidRDefault="002C1455" w:rsidP="002C1455">
      <w:r>
        <w:lastRenderedPageBreak/>
        <w:t xml:space="preserve">Includes transactions (payments) coded to the Petitioning Creditors Costs account.  Note:  the taxed costs may have been entered as a Priority creditor.  Ensure that the creditor payments have not been double-counted. </w:t>
      </w:r>
    </w:p>
    <w:p w:rsidR="002C1455" w:rsidRDefault="002C1455" w:rsidP="00041417"/>
    <w:p w:rsidR="00041417" w:rsidRDefault="00041417" w:rsidP="00041417"/>
    <w:p w:rsidR="00041417" w:rsidRDefault="00041417" w:rsidP="00E900BC">
      <w:pPr>
        <w:pStyle w:val="Heading2"/>
      </w:pPr>
      <w:r>
        <w:t>Bank Fees and Charges (25)</w:t>
      </w:r>
    </w:p>
    <w:p w:rsidR="00041417" w:rsidRDefault="00041417" w:rsidP="00041417">
      <w:r>
        <w:t>This includes all bank charges that are deductible from the interest charge.</w:t>
      </w:r>
    </w:p>
    <w:p w:rsidR="00041417" w:rsidRDefault="00041417" w:rsidP="00041417"/>
    <w:p w:rsidR="00041417" w:rsidRDefault="00041417" w:rsidP="00041417">
      <w:pPr>
        <w:pStyle w:val="Heading2"/>
      </w:pPr>
      <w:r>
        <w:t>Other Payments</w:t>
      </w:r>
      <w:r w:rsidR="00CA6847">
        <w:t xml:space="preserve"> (26)</w:t>
      </w:r>
    </w:p>
    <w:p w:rsidR="00041417" w:rsidRDefault="00041417" w:rsidP="00041417">
      <w:r>
        <w:t>All other payments that do not fit into any of the previous payment categories.</w:t>
      </w:r>
    </w:p>
    <w:p w:rsidR="00041417" w:rsidRPr="00041417" w:rsidRDefault="00041417" w:rsidP="00041417"/>
    <w:p w:rsidR="00E900BC" w:rsidRDefault="00E900BC" w:rsidP="00E900BC">
      <w:pPr>
        <w:pStyle w:val="Heading2"/>
      </w:pPr>
      <w:r>
        <w:t>Realisation Charge</w:t>
      </w:r>
      <w:bookmarkEnd w:id="9"/>
      <w:r w:rsidR="00CA6847">
        <w:t xml:space="preserve"> Payments (27)</w:t>
      </w:r>
    </w:p>
    <w:p w:rsidR="00E900BC" w:rsidRDefault="00E900BC" w:rsidP="00E900BC">
      <w:r>
        <w:t>Includes any amounts remitted to ITSA in respect of the Realisation Charge Liability for the period.  The remittance relates to the liability arising from transactions in the previous period.</w:t>
      </w:r>
    </w:p>
    <w:p w:rsidR="00E900BC" w:rsidRDefault="00E900BC" w:rsidP="00E900BC"/>
    <w:p w:rsidR="00E900BC" w:rsidRDefault="00E900BC" w:rsidP="00E900BC">
      <w:pPr>
        <w:pStyle w:val="Heading2"/>
      </w:pPr>
      <w:bookmarkStart w:id="12" w:name="_Toc102797983"/>
      <w:r>
        <w:t>Interest Charge</w:t>
      </w:r>
      <w:bookmarkEnd w:id="12"/>
      <w:r w:rsidR="00CA6847">
        <w:t xml:space="preserve"> (28)</w:t>
      </w:r>
    </w:p>
    <w:p w:rsidR="00E900BC" w:rsidRDefault="00E900BC" w:rsidP="00E900BC">
      <w:r>
        <w:t>Includes any amounts remitted to ITSA in respect of the Interest Charge Liability for the period.  The remittance relates to the liability arising from transactions in the previous period.</w:t>
      </w:r>
    </w:p>
    <w:p w:rsidR="00E900BC" w:rsidRDefault="00E900BC" w:rsidP="00E900BC"/>
    <w:p w:rsidR="002C1455" w:rsidRDefault="002C1455" w:rsidP="002C1455">
      <w:pPr>
        <w:pStyle w:val="Heading2"/>
      </w:pPr>
      <w:r>
        <w:t>Refund of surplus to Debtor</w:t>
      </w:r>
      <w:r w:rsidR="00973E1A">
        <w:t xml:space="preserve"> (29)</w:t>
      </w:r>
    </w:p>
    <w:p w:rsidR="00973E1A" w:rsidRDefault="00973E1A" w:rsidP="00973E1A">
      <w:r>
        <w:t xml:space="preserve">Includes transactions (payments) coded to the </w:t>
      </w:r>
      <w:r w:rsidRPr="00973E1A">
        <w:rPr>
          <w:b/>
          <w:i/>
        </w:rPr>
        <w:t>Refund of surplus to Debtor</w:t>
      </w:r>
      <w:r w:rsidRPr="00A45E0B">
        <w:rPr>
          <w:b/>
          <w:i/>
        </w:rPr>
        <w:t xml:space="preserve"> </w:t>
      </w:r>
      <w:r>
        <w:t>account.</w:t>
      </w:r>
    </w:p>
    <w:p w:rsidR="00973E1A" w:rsidRDefault="00973E1A" w:rsidP="00E900BC"/>
    <w:p w:rsidR="00E900BC" w:rsidRDefault="00E900BC" w:rsidP="00E900BC">
      <w:pPr>
        <w:pStyle w:val="Heading2"/>
      </w:pPr>
      <w:bookmarkStart w:id="13" w:name="_Toc102797994"/>
      <w:r>
        <w:t>Funds Transferred to another Trustee</w:t>
      </w:r>
      <w:bookmarkEnd w:id="13"/>
      <w:r w:rsidR="00973E1A">
        <w:t xml:space="preserve"> (31)</w:t>
      </w:r>
    </w:p>
    <w:p w:rsidR="00E900BC" w:rsidRDefault="00E900BC" w:rsidP="00E900BC">
      <w:r>
        <w:t>Includes transactions (</w:t>
      </w:r>
      <w:r w:rsidR="00973E1A">
        <w:t>payments</w:t>
      </w:r>
      <w:r>
        <w:t xml:space="preserve">) coded to the </w:t>
      </w:r>
      <w:r w:rsidRPr="00A45E0B">
        <w:rPr>
          <w:b/>
          <w:i/>
        </w:rPr>
        <w:t xml:space="preserve">Funds Paid to Succeeding Trustee </w:t>
      </w:r>
      <w:r>
        <w:t>account.</w:t>
      </w:r>
    </w:p>
    <w:p w:rsidR="00E03FFE" w:rsidRDefault="00E03FFE">
      <w:r>
        <w:br w:type="page"/>
      </w:r>
    </w:p>
    <w:p w:rsidR="00E03FFE" w:rsidRDefault="00E03FFE" w:rsidP="00E03FFE">
      <w:pPr>
        <w:pStyle w:val="Heading1"/>
      </w:pPr>
      <w:r>
        <w:lastRenderedPageBreak/>
        <w:t xml:space="preserve">Debt Agreement </w:t>
      </w:r>
      <w:r w:rsidR="00E14F5B">
        <w:t>Information</w:t>
      </w:r>
    </w:p>
    <w:p w:rsidR="00E03FFE" w:rsidRDefault="00E03FFE"/>
    <w:p w:rsidR="00AE1420" w:rsidRDefault="00E03FFE" w:rsidP="00E14F5B">
      <w:pPr>
        <w:pStyle w:val="Heading2"/>
      </w:pPr>
      <w:r w:rsidRPr="00E03FFE">
        <w:t>Date proposal lodged with Official Receiver (Realisations charge is only payable if date lodged is on or after 1 July 07)</w:t>
      </w:r>
    </w:p>
    <w:p w:rsidR="00E03FFE" w:rsidRDefault="00E14F5B">
      <w:r>
        <w:t>Enter this field in Job Information.</w:t>
      </w:r>
    </w:p>
    <w:p w:rsidR="00E14F5B" w:rsidRDefault="00E14F5B"/>
    <w:p w:rsidR="00E14F5B" w:rsidRDefault="00E14F5B" w:rsidP="00E14F5B">
      <w:pPr>
        <w:pStyle w:val="Heading2"/>
      </w:pPr>
      <w:r w:rsidRPr="00E14F5B">
        <w:t>Total value of creditor claims</w:t>
      </w:r>
    </w:p>
    <w:p w:rsidR="00E14F5B" w:rsidRDefault="00E14F5B">
      <w:r>
        <w:t xml:space="preserve">Is the calculated field for the total of </w:t>
      </w:r>
      <w:r w:rsidR="005160DD">
        <w:t xml:space="preserve">unsecured </w:t>
      </w:r>
      <w:r>
        <w:t>creditor claims</w:t>
      </w:r>
      <w:r w:rsidR="005160DD">
        <w:t xml:space="preserve"> and only appears if the finalisation date is entered</w:t>
      </w:r>
      <w:r>
        <w:t>.</w:t>
      </w:r>
    </w:p>
    <w:p w:rsidR="00E03FFE" w:rsidRDefault="00E03FFE"/>
    <w:p w:rsidR="00E03FFE" w:rsidRDefault="00E03FFE">
      <w:pPr>
        <w:rPr>
          <w:b/>
          <w:bCs/>
          <w:sz w:val="28"/>
        </w:rPr>
      </w:pPr>
      <w:r>
        <w:br w:type="page"/>
      </w:r>
    </w:p>
    <w:p w:rsidR="00C857D0" w:rsidRDefault="00BE433F" w:rsidP="002C1455">
      <w:pPr>
        <w:pStyle w:val="Heading1"/>
      </w:pPr>
      <w:r>
        <w:lastRenderedPageBreak/>
        <w:t>Notes on Data Entry</w:t>
      </w:r>
      <w:r>
        <w:br/>
      </w:r>
    </w:p>
    <w:p w:rsidR="00C857D0" w:rsidRDefault="00C857D0" w:rsidP="00C857D0">
      <w:pPr>
        <w:pStyle w:val="Heading2"/>
      </w:pPr>
      <w:r>
        <w:t>Sale of Assets</w:t>
      </w:r>
    </w:p>
    <w:p w:rsidR="00C857D0" w:rsidRDefault="00C857D0" w:rsidP="00C857D0">
      <w:r>
        <w:t>Entered in the Asset Register. Processed using Asset Realisation.</w:t>
      </w:r>
    </w:p>
    <w:p w:rsidR="00C857D0" w:rsidRDefault="00C857D0" w:rsidP="00C857D0"/>
    <w:p w:rsidR="00C857D0" w:rsidRDefault="00C857D0" w:rsidP="00C857D0">
      <w:r>
        <w:t>Any receipt entered through an Asset Account.</w:t>
      </w:r>
    </w:p>
    <w:p w:rsidR="00C857D0" w:rsidRDefault="00C857D0" w:rsidP="00C857D0"/>
    <w:p w:rsidR="00C857D0" w:rsidRDefault="00C857D0" w:rsidP="00C857D0">
      <w:r>
        <w:t>Any receipt to an Asset Realisation account that is allocated to an asset.</w:t>
      </w:r>
    </w:p>
    <w:p w:rsidR="00C857D0" w:rsidRDefault="00C857D0" w:rsidP="002C1455">
      <w:pPr>
        <w:pStyle w:val="Heading1"/>
      </w:pPr>
    </w:p>
    <w:p w:rsidR="00C857D0" w:rsidRDefault="00C857D0" w:rsidP="00C857D0">
      <w:r w:rsidRPr="00C857D0">
        <w:rPr>
          <w:rStyle w:val="SubtleEmphasis"/>
        </w:rPr>
        <w:t>Example Entry Screen shot</w:t>
      </w:r>
      <w:r w:rsidR="00B3306F">
        <w:rPr>
          <w:rStyle w:val="SubtleEmphasis"/>
        </w:rPr>
        <w:t xml:space="preserve"> - Receipt</w:t>
      </w:r>
      <w:r w:rsidR="00BE433F" w:rsidRPr="00C857D0">
        <w:rPr>
          <w:rStyle w:val="SubtleEmphasis"/>
        </w:rPr>
        <w:br/>
      </w:r>
      <w:r>
        <w:rPr>
          <w:noProof/>
          <w:lang w:eastAsia="en-AU"/>
        </w:rPr>
        <w:drawing>
          <wp:inline distT="0" distB="0" distL="0" distR="0" wp14:anchorId="46324D3A" wp14:editId="12C9741A">
            <wp:extent cx="5274310" cy="4072255"/>
            <wp:effectExtent l="0" t="0" r="254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D0" w:rsidRDefault="00C857D0" w:rsidP="00C857D0"/>
    <w:p w:rsidR="00B3306F" w:rsidRDefault="00B3306F" w:rsidP="00C857D0">
      <w:r>
        <w:rPr>
          <w:noProof/>
          <w:lang w:eastAsia="en-AU"/>
        </w:rPr>
        <w:lastRenderedPageBreak/>
        <w:drawing>
          <wp:inline distT="0" distB="0" distL="0" distR="0" wp14:anchorId="0E55E2CF" wp14:editId="0FEAE99B">
            <wp:extent cx="3581400" cy="3581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06F" w:rsidRDefault="00B3306F" w:rsidP="00C857D0"/>
    <w:p w:rsidR="00B3306F" w:rsidRDefault="00B3306F" w:rsidP="00C857D0">
      <w:r w:rsidRPr="00C857D0">
        <w:rPr>
          <w:rStyle w:val="SubtleEmphasis"/>
        </w:rPr>
        <w:t>Example Entry Screen shot</w:t>
      </w:r>
      <w:r>
        <w:rPr>
          <w:rStyle w:val="SubtleEmphasis"/>
        </w:rPr>
        <w:t xml:space="preserve"> – Asset Realisation</w:t>
      </w:r>
      <w:r w:rsidRPr="00C857D0">
        <w:rPr>
          <w:rStyle w:val="SubtleEmphasis"/>
        </w:rPr>
        <w:br/>
      </w:r>
    </w:p>
    <w:p w:rsidR="003507C5" w:rsidRDefault="003507C5" w:rsidP="00C857D0">
      <w:r>
        <w:rPr>
          <w:noProof/>
          <w:lang w:eastAsia="en-AU"/>
        </w:rPr>
        <w:drawing>
          <wp:inline distT="0" distB="0" distL="0" distR="0" wp14:anchorId="0604EFC4" wp14:editId="755A2721">
            <wp:extent cx="5788025" cy="4698365"/>
            <wp:effectExtent l="0" t="0" r="3175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</w:p>
    <w:p w:rsidR="00C857D0" w:rsidRDefault="00E20E87" w:rsidP="00C857D0">
      <w:r>
        <w:rPr>
          <w:noProof/>
          <w:lang w:eastAsia="en-AU"/>
        </w:rPr>
        <w:lastRenderedPageBreak/>
        <w:drawing>
          <wp:inline distT="0" distB="0" distL="0" distR="0" wp14:anchorId="104FE2E7" wp14:editId="28F0713D">
            <wp:extent cx="5788025" cy="4667250"/>
            <wp:effectExtent l="0" t="0" r="317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D0" w:rsidRDefault="00C857D0" w:rsidP="00C857D0"/>
    <w:p w:rsidR="00BE433F" w:rsidRDefault="00BE433F" w:rsidP="002C1455">
      <w:pPr>
        <w:pStyle w:val="Heading1"/>
      </w:pPr>
    </w:p>
    <w:p w:rsidR="00B3306F" w:rsidRDefault="00B3306F" w:rsidP="00B3306F">
      <w:r w:rsidRPr="00C857D0">
        <w:rPr>
          <w:rStyle w:val="SubtleEmphasis"/>
        </w:rPr>
        <w:t>Example Entry Screen shot</w:t>
      </w:r>
      <w:r>
        <w:rPr>
          <w:rStyle w:val="SubtleEmphasis"/>
        </w:rPr>
        <w:t xml:space="preserve"> – Unallocated Asset Realisation</w:t>
      </w:r>
      <w:r w:rsidRPr="00C857D0">
        <w:rPr>
          <w:rStyle w:val="SubtleEmphasis"/>
        </w:rPr>
        <w:br/>
      </w:r>
    </w:p>
    <w:p w:rsidR="00B3306F" w:rsidRDefault="00B3306F" w:rsidP="00B3306F">
      <w:r>
        <w:rPr>
          <w:noProof/>
          <w:lang w:eastAsia="en-AU"/>
        </w:rPr>
        <w:lastRenderedPageBreak/>
        <w:drawing>
          <wp:inline distT="0" distB="0" distL="0" distR="0" wp14:anchorId="2C8A8EC7" wp14:editId="5A943265">
            <wp:extent cx="5274310" cy="408178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D0" w:rsidRDefault="00B3306F" w:rsidP="00C857D0">
      <w:r>
        <w:t xml:space="preserve">This entry will report as </w:t>
      </w:r>
      <w:proofErr w:type="gramStart"/>
      <w:r w:rsidRPr="00B3306F">
        <w:rPr>
          <w:i/>
        </w:rPr>
        <w:t>Other</w:t>
      </w:r>
      <w:proofErr w:type="gramEnd"/>
      <w:r w:rsidRPr="00B3306F">
        <w:rPr>
          <w:i/>
        </w:rPr>
        <w:t xml:space="preserve"> re</w:t>
      </w:r>
      <w:r>
        <w:rPr>
          <w:i/>
        </w:rPr>
        <w:t xml:space="preserve">cepts </w:t>
      </w:r>
      <w:r>
        <w:t>but will still be subject to the realisation charge.</w:t>
      </w:r>
    </w:p>
    <w:p w:rsidR="00B3306F" w:rsidRDefault="00B3306F" w:rsidP="00C857D0"/>
    <w:p w:rsidR="00C857D0" w:rsidRDefault="00C857D0" w:rsidP="00C857D0">
      <w:pPr>
        <w:pStyle w:val="Heading2"/>
      </w:pPr>
      <w:r w:rsidRPr="002362E6">
        <w:t>Other receipts</w:t>
      </w:r>
    </w:p>
    <w:p w:rsidR="00C857D0" w:rsidRDefault="00C857D0" w:rsidP="00C857D0">
      <w:r>
        <w:t>Any receipt to an Asset Realisation account not allocated to an asset.</w:t>
      </w:r>
    </w:p>
    <w:p w:rsidR="00C857D0" w:rsidRDefault="00C857D0" w:rsidP="00C857D0"/>
    <w:p w:rsidR="00C857D0" w:rsidRDefault="00C857D0" w:rsidP="00C857D0"/>
    <w:p w:rsidR="00C857D0" w:rsidRDefault="00C857D0" w:rsidP="00C857D0">
      <w:pPr>
        <w:pStyle w:val="Heading2"/>
      </w:pPr>
      <w:r w:rsidRPr="00612423">
        <w:t>Dividends paid to creditors</w:t>
      </w:r>
    </w:p>
    <w:p w:rsidR="00C857D0" w:rsidRDefault="00C857D0" w:rsidP="00C857D0">
      <w:r>
        <w:t xml:space="preserve">Any payments to priority creditors (such as petitioning creditor’s costs) coded to the </w:t>
      </w:r>
      <w:r>
        <w:rPr>
          <w:i/>
        </w:rPr>
        <w:t>Priority</w:t>
      </w:r>
      <w:r w:rsidRPr="00B35A12">
        <w:rPr>
          <w:i/>
        </w:rPr>
        <w:t xml:space="preserve"> Creditors: Claims</w:t>
      </w:r>
      <w:r>
        <w:t xml:space="preserve"> account and allocated to the creditor will appear in dividends.</w:t>
      </w:r>
    </w:p>
    <w:p w:rsidR="00C857D0" w:rsidRDefault="00C857D0" w:rsidP="00C857D0"/>
    <w:p w:rsidR="00C857D0" w:rsidRDefault="00C857D0" w:rsidP="00C857D0">
      <w:r>
        <w:t>To exclude petitioning creditor’s costs from dividends</w:t>
      </w:r>
      <w:r w:rsidR="00B3306F">
        <w:t>,</w:t>
      </w:r>
      <w:r>
        <w:t xml:space="preserve"> enter as </w:t>
      </w:r>
      <w:r w:rsidR="00B3306F">
        <w:t>a</w:t>
      </w:r>
      <w:r>
        <w:t xml:space="preserve"> payment</w:t>
      </w:r>
      <w:r w:rsidR="00B3306F">
        <w:t xml:space="preserve"> </w:t>
      </w:r>
      <w:r>
        <w:t>code</w:t>
      </w:r>
      <w:r w:rsidR="00B3306F">
        <w:t>d</w:t>
      </w:r>
      <w:r>
        <w:t xml:space="preserve"> to a</w:t>
      </w:r>
      <w:r w:rsidR="00B3306F">
        <w:t xml:space="preserve"> </w:t>
      </w:r>
      <w:r>
        <w:t>cost of realisation account.</w:t>
      </w:r>
    </w:p>
    <w:p w:rsidR="00C857D0" w:rsidRDefault="00C857D0" w:rsidP="00C857D0"/>
    <w:p w:rsidR="00B3306F" w:rsidRPr="00B3306F" w:rsidRDefault="00B3306F" w:rsidP="00C857D0">
      <w:pPr>
        <w:rPr>
          <w:rStyle w:val="SubtleEmphasis"/>
        </w:rPr>
      </w:pPr>
      <w:r w:rsidRPr="00C857D0">
        <w:rPr>
          <w:rStyle w:val="SubtleEmphasis"/>
        </w:rPr>
        <w:t>Example Entry Screen shot</w:t>
      </w:r>
      <w:r>
        <w:rPr>
          <w:rStyle w:val="SubtleEmphasis"/>
        </w:rPr>
        <w:t xml:space="preserve"> – </w:t>
      </w:r>
      <w:r w:rsidRPr="00B3306F">
        <w:rPr>
          <w:rStyle w:val="SubtleEmphasis"/>
        </w:rPr>
        <w:t>Petitioning creditor’s costs</w:t>
      </w:r>
      <w:r w:rsidRPr="00C857D0">
        <w:rPr>
          <w:rStyle w:val="SubtleEmphasis"/>
        </w:rPr>
        <w:br/>
      </w:r>
    </w:p>
    <w:p w:rsidR="00C857D0" w:rsidRDefault="00C857D0" w:rsidP="00C857D0">
      <w:r>
        <w:rPr>
          <w:noProof/>
          <w:lang w:eastAsia="en-AU"/>
        </w:rPr>
        <w:lastRenderedPageBreak/>
        <w:drawing>
          <wp:inline distT="0" distB="0" distL="0" distR="0" wp14:anchorId="5232B28D" wp14:editId="7DF8B3E5">
            <wp:extent cx="5274310" cy="38544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D0" w:rsidRDefault="00C857D0" w:rsidP="00C857D0"/>
    <w:p w:rsidR="00C857D0" w:rsidRDefault="00C857D0" w:rsidP="00C857D0"/>
    <w:p w:rsidR="00647075" w:rsidRDefault="00647075" w:rsidP="00C857D0">
      <w:r w:rsidRPr="00C857D0">
        <w:rPr>
          <w:rStyle w:val="SubtleEmphasis"/>
        </w:rPr>
        <w:t>Example Entry Screen shot</w:t>
      </w:r>
      <w:r>
        <w:rPr>
          <w:rStyle w:val="SubtleEmphasis"/>
        </w:rPr>
        <w:t xml:space="preserve"> – Reports as Dividend</w:t>
      </w:r>
      <w:r w:rsidRPr="00C857D0">
        <w:rPr>
          <w:rStyle w:val="SubtleEmphasis"/>
        </w:rPr>
        <w:br/>
      </w:r>
    </w:p>
    <w:p w:rsidR="00647075" w:rsidRDefault="00647075" w:rsidP="00C857D0">
      <w:r>
        <w:rPr>
          <w:noProof/>
          <w:lang w:eastAsia="en-AU"/>
        </w:rPr>
        <w:drawing>
          <wp:inline distT="0" distB="0" distL="0" distR="0" wp14:anchorId="3D43BCF0" wp14:editId="6AB409D8">
            <wp:extent cx="5274310" cy="408622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D0" w:rsidRDefault="00C857D0" w:rsidP="00C857D0"/>
    <w:p w:rsidR="00C857D0" w:rsidRDefault="00C857D0" w:rsidP="00C857D0">
      <w:pPr>
        <w:pStyle w:val="Heading2"/>
      </w:pPr>
      <w:r>
        <w:t>Excluding Accounts from Realisation charge</w:t>
      </w:r>
    </w:p>
    <w:p w:rsidR="00C857D0" w:rsidRDefault="00C857D0" w:rsidP="00C857D0"/>
    <w:p w:rsidR="00C857D0" w:rsidRDefault="00C857D0" w:rsidP="00C857D0">
      <w:r>
        <w:rPr>
          <w:noProof/>
          <w:lang w:eastAsia="en-AU"/>
        </w:rPr>
        <w:drawing>
          <wp:inline distT="0" distB="0" distL="0" distR="0" wp14:anchorId="4F84059D" wp14:editId="16D8437D">
            <wp:extent cx="3581400" cy="3581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33F" w:rsidRDefault="00BE433F"/>
    <w:sectPr w:rsidR="00BE433F" w:rsidSect="001D5A4C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2EE"/>
    <w:multiLevelType w:val="hybridMultilevel"/>
    <w:tmpl w:val="9C68B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415"/>
    <w:multiLevelType w:val="hybridMultilevel"/>
    <w:tmpl w:val="D19E2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1476"/>
    <w:multiLevelType w:val="hybridMultilevel"/>
    <w:tmpl w:val="28D4D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A30E7"/>
    <w:multiLevelType w:val="hybridMultilevel"/>
    <w:tmpl w:val="84CAD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9100A"/>
    <w:multiLevelType w:val="hybridMultilevel"/>
    <w:tmpl w:val="A9385C2C"/>
    <w:lvl w:ilvl="0" w:tplc="6F8851E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176E50"/>
    <w:multiLevelType w:val="hybridMultilevel"/>
    <w:tmpl w:val="6EC4F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BC"/>
    <w:rsid w:val="00002223"/>
    <w:rsid w:val="000145C4"/>
    <w:rsid w:val="00017443"/>
    <w:rsid w:val="000201B3"/>
    <w:rsid w:val="00020E6F"/>
    <w:rsid w:val="0002397E"/>
    <w:rsid w:val="00026296"/>
    <w:rsid w:val="00026A31"/>
    <w:rsid w:val="00026E83"/>
    <w:rsid w:val="00032069"/>
    <w:rsid w:val="000351B5"/>
    <w:rsid w:val="00037A8A"/>
    <w:rsid w:val="00041417"/>
    <w:rsid w:val="0004176B"/>
    <w:rsid w:val="000438EB"/>
    <w:rsid w:val="00043BB7"/>
    <w:rsid w:val="0004424D"/>
    <w:rsid w:val="000465DC"/>
    <w:rsid w:val="000501E9"/>
    <w:rsid w:val="00054079"/>
    <w:rsid w:val="00060727"/>
    <w:rsid w:val="00060D53"/>
    <w:rsid w:val="00061A5B"/>
    <w:rsid w:val="0006272F"/>
    <w:rsid w:val="00064D60"/>
    <w:rsid w:val="00066ACD"/>
    <w:rsid w:val="00066B44"/>
    <w:rsid w:val="000735CD"/>
    <w:rsid w:val="00074022"/>
    <w:rsid w:val="00074C94"/>
    <w:rsid w:val="00075C9D"/>
    <w:rsid w:val="00080D82"/>
    <w:rsid w:val="000810C5"/>
    <w:rsid w:val="00082A95"/>
    <w:rsid w:val="0009613B"/>
    <w:rsid w:val="00096A43"/>
    <w:rsid w:val="000A4D05"/>
    <w:rsid w:val="000A6178"/>
    <w:rsid w:val="000A71E3"/>
    <w:rsid w:val="000A7FBC"/>
    <w:rsid w:val="000B47AE"/>
    <w:rsid w:val="000B73DF"/>
    <w:rsid w:val="000B7682"/>
    <w:rsid w:val="000C0353"/>
    <w:rsid w:val="000C1A97"/>
    <w:rsid w:val="000C2552"/>
    <w:rsid w:val="000C5909"/>
    <w:rsid w:val="000D6ED8"/>
    <w:rsid w:val="000E08BE"/>
    <w:rsid w:val="000E5D1C"/>
    <w:rsid w:val="000F54F2"/>
    <w:rsid w:val="000F5811"/>
    <w:rsid w:val="000F6715"/>
    <w:rsid w:val="00106FC4"/>
    <w:rsid w:val="00110406"/>
    <w:rsid w:val="001150B4"/>
    <w:rsid w:val="00123157"/>
    <w:rsid w:val="001305B0"/>
    <w:rsid w:val="00131F73"/>
    <w:rsid w:val="001332C9"/>
    <w:rsid w:val="00136B88"/>
    <w:rsid w:val="00141880"/>
    <w:rsid w:val="00141E25"/>
    <w:rsid w:val="00151372"/>
    <w:rsid w:val="001516D0"/>
    <w:rsid w:val="00156909"/>
    <w:rsid w:val="00156D3E"/>
    <w:rsid w:val="001602AA"/>
    <w:rsid w:val="001611EE"/>
    <w:rsid w:val="00164BEB"/>
    <w:rsid w:val="001775D7"/>
    <w:rsid w:val="00183068"/>
    <w:rsid w:val="001831BD"/>
    <w:rsid w:val="001865E7"/>
    <w:rsid w:val="001867C3"/>
    <w:rsid w:val="001A31DA"/>
    <w:rsid w:val="001A3F66"/>
    <w:rsid w:val="001A4716"/>
    <w:rsid w:val="001A5185"/>
    <w:rsid w:val="001A6C91"/>
    <w:rsid w:val="001B1DA2"/>
    <w:rsid w:val="001B692B"/>
    <w:rsid w:val="001B79C0"/>
    <w:rsid w:val="001C657F"/>
    <w:rsid w:val="001C6683"/>
    <w:rsid w:val="001D334D"/>
    <w:rsid w:val="001D4B1B"/>
    <w:rsid w:val="001D5A4C"/>
    <w:rsid w:val="001D6603"/>
    <w:rsid w:val="001D6B60"/>
    <w:rsid w:val="001E2A86"/>
    <w:rsid w:val="001E690D"/>
    <w:rsid w:val="001F03FA"/>
    <w:rsid w:val="001F1DAD"/>
    <w:rsid w:val="00200525"/>
    <w:rsid w:val="002041B3"/>
    <w:rsid w:val="002073CF"/>
    <w:rsid w:val="002123A1"/>
    <w:rsid w:val="0021565C"/>
    <w:rsid w:val="002215F0"/>
    <w:rsid w:val="0022615D"/>
    <w:rsid w:val="0023065D"/>
    <w:rsid w:val="00233A7C"/>
    <w:rsid w:val="00233FB2"/>
    <w:rsid w:val="0023609A"/>
    <w:rsid w:val="002362E6"/>
    <w:rsid w:val="00242B8D"/>
    <w:rsid w:val="00246FAF"/>
    <w:rsid w:val="00252742"/>
    <w:rsid w:val="00261A2A"/>
    <w:rsid w:val="0026372B"/>
    <w:rsid w:val="00264AA6"/>
    <w:rsid w:val="00267EA3"/>
    <w:rsid w:val="00274CA3"/>
    <w:rsid w:val="00277C69"/>
    <w:rsid w:val="002847D5"/>
    <w:rsid w:val="00286FD2"/>
    <w:rsid w:val="00290DF3"/>
    <w:rsid w:val="002925A7"/>
    <w:rsid w:val="00292A14"/>
    <w:rsid w:val="00294407"/>
    <w:rsid w:val="002A04CF"/>
    <w:rsid w:val="002A07C3"/>
    <w:rsid w:val="002A67D8"/>
    <w:rsid w:val="002A6B34"/>
    <w:rsid w:val="002B421C"/>
    <w:rsid w:val="002C1455"/>
    <w:rsid w:val="002C3F15"/>
    <w:rsid w:val="002C7C5E"/>
    <w:rsid w:val="002E097A"/>
    <w:rsid w:val="002E3134"/>
    <w:rsid w:val="002E57B9"/>
    <w:rsid w:val="002E5FE9"/>
    <w:rsid w:val="002E7DE3"/>
    <w:rsid w:val="002F4398"/>
    <w:rsid w:val="002F6AE7"/>
    <w:rsid w:val="0030085A"/>
    <w:rsid w:val="0031288F"/>
    <w:rsid w:val="00316AC3"/>
    <w:rsid w:val="00316DF9"/>
    <w:rsid w:val="003171F4"/>
    <w:rsid w:val="003172DB"/>
    <w:rsid w:val="00332AD8"/>
    <w:rsid w:val="00335D32"/>
    <w:rsid w:val="00342D85"/>
    <w:rsid w:val="00344C87"/>
    <w:rsid w:val="003474EA"/>
    <w:rsid w:val="003500DD"/>
    <w:rsid w:val="00350251"/>
    <w:rsid w:val="003507C5"/>
    <w:rsid w:val="00354457"/>
    <w:rsid w:val="00356B29"/>
    <w:rsid w:val="00357C3A"/>
    <w:rsid w:val="00361098"/>
    <w:rsid w:val="00361A97"/>
    <w:rsid w:val="00362B9C"/>
    <w:rsid w:val="0037689C"/>
    <w:rsid w:val="0038360E"/>
    <w:rsid w:val="00387160"/>
    <w:rsid w:val="00387D83"/>
    <w:rsid w:val="003909B4"/>
    <w:rsid w:val="00393FC9"/>
    <w:rsid w:val="003A2870"/>
    <w:rsid w:val="003A3B0D"/>
    <w:rsid w:val="003B0EB5"/>
    <w:rsid w:val="003B2446"/>
    <w:rsid w:val="003B3279"/>
    <w:rsid w:val="003B60F7"/>
    <w:rsid w:val="003B7953"/>
    <w:rsid w:val="003C193C"/>
    <w:rsid w:val="003D526A"/>
    <w:rsid w:val="003D56AC"/>
    <w:rsid w:val="003D5D1E"/>
    <w:rsid w:val="003D72C1"/>
    <w:rsid w:val="003E0989"/>
    <w:rsid w:val="003E1D2C"/>
    <w:rsid w:val="003E42ED"/>
    <w:rsid w:val="003E4452"/>
    <w:rsid w:val="003E496C"/>
    <w:rsid w:val="003F7C88"/>
    <w:rsid w:val="00404CF0"/>
    <w:rsid w:val="00416777"/>
    <w:rsid w:val="00416CEE"/>
    <w:rsid w:val="004214D9"/>
    <w:rsid w:val="00424701"/>
    <w:rsid w:val="0042750A"/>
    <w:rsid w:val="0043414F"/>
    <w:rsid w:val="00444B7E"/>
    <w:rsid w:val="004512B9"/>
    <w:rsid w:val="004515FC"/>
    <w:rsid w:val="00452899"/>
    <w:rsid w:val="00456888"/>
    <w:rsid w:val="00457695"/>
    <w:rsid w:val="0046606F"/>
    <w:rsid w:val="0047299F"/>
    <w:rsid w:val="0047324F"/>
    <w:rsid w:val="004808A1"/>
    <w:rsid w:val="00482C7A"/>
    <w:rsid w:val="004904D7"/>
    <w:rsid w:val="0049094D"/>
    <w:rsid w:val="00490CAA"/>
    <w:rsid w:val="004914BD"/>
    <w:rsid w:val="00493E38"/>
    <w:rsid w:val="0049424C"/>
    <w:rsid w:val="004977AF"/>
    <w:rsid w:val="004A46A5"/>
    <w:rsid w:val="004A6ED6"/>
    <w:rsid w:val="004A7A26"/>
    <w:rsid w:val="004B0D89"/>
    <w:rsid w:val="004B189C"/>
    <w:rsid w:val="004B4B79"/>
    <w:rsid w:val="004B673A"/>
    <w:rsid w:val="004C4221"/>
    <w:rsid w:val="004C5F8C"/>
    <w:rsid w:val="004C6128"/>
    <w:rsid w:val="004E29D7"/>
    <w:rsid w:val="004E30ED"/>
    <w:rsid w:val="004E3143"/>
    <w:rsid w:val="004E3574"/>
    <w:rsid w:val="004E5D70"/>
    <w:rsid w:val="004E7FE3"/>
    <w:rsid w:val="00500357"/>
    <w:rsid w:val="00504E9F"/>
    <w:rsid w:val="00511B18"/>
    <w:rsid w:val="005160DD"/>
    <w:rsid w:val="0051749B"/>
    <w:rsid w:val="00521643"/>
    <w:rsid w:val="00526738"/>
    <w:rsid w:val="00532F98"/>
    <w:rsid w:val="00536329"/>
    <w:rsid w:val="005409F1"/>
    <w:rsid w:val="00543455"/>
    <w:rsid w:val="00543CE2"/>
    <w:rsid w:val="00551434"/>
    <w:rsid w:val="005552DC"/>
    <w:rsid w:val="00555DE3"/>
    <w:rsid w:val="005572D6"/>
    <w:rsid w:val="005573F4"/>
    <w:rsid w:val="00562F5E"/>
    <w:rsid w:val="00563DE0"/>
    <w:rsid w:val="00566D19"/>
    <w:rsid w:val="00576620"/>
    <w:rsid w:val="00576647"/>
    <w:rsid w:val="00576E23"/>
    <w:rsid w:val="00580BFD"/>
    <w:rsid w:val="005875FA"/>
    <w:rsid w:val="00594A03"/>
    <w:rsid w:val="00595B95"/>
    <w:rsid w:val="0059657C"/>
    <w:rsid w:val="005A06D8"/>
    <w:rsid w:val="005A1125"/>
    <w:rsid w:val="005A1F14"/>
    <w:rsid w:val="005A30C6"/>
    <w:rsid w:val="005A76D9"/>
    <w:rsid w:val="005B0F76"/>
    <w:rsid w:val="005B3953"/>
    <w:rsid w:val="005B3FFE"/>
    <w:rsid w:val="005C675C"/>
    <w:rsid w:val="005C6C1F"/>
    <w:rsid w:val="005D570E"/>
    <w:rsid w:val="005E13CC"/>
    <w:rsid w:val="005E165A"/>
    <w:rsid w:val="005E1B7D"/>
    <w:rsid w:val="005E2814"/>
    <w:rsid w:val="005E405C"/>
    <w:rsid w:val="005E4492"/>
    <w:rsid w:val="005E6394"/>
    <w:rsid w:val="005F084A"/>
    <w:rsid w:val="005F571B"/>
    <w:rsid w:val="005F7740"/>
    <w:rsid w:val="006050E5"/>
    <w:rsid w:val="006056D6"/>
    <w:rsid w:val="00610A4C"/>
    <w:rsid w:val="00612114"/>
    <w:rsid w:val="00612423"/>
    <w:rsid w:val="00612564"/>
    <w:rsid w:val="00613CBC"/>
    <w:rsid w:val="00614BF4"/>
    <w:rsid w:val="0062220F"/>
    <w:rsid w:val="006228DE"/>
    <w:rsid w:val="00622CC3"/>
    <w:rsid w:val="0062340B"/>
    <w:rsid w:val="00624AA2"/>
    <w:rsid w:val="0063160F"/>
    <w:rsid w:val="00636FAE"/>
    <w:rsid w:val="00640D16"/>
    <w:rsid w:val="00642094"/>
    <w:rsid w:val="00642705"/>
    <w:rsid w:val="00644B5E"/>
    <w:rsid w:val="00646E75"/>
    <w:rsid w:val="00647075"/>
    <w:rsid w:val="00650460"/>
    <w:rsid w:val="0065146D"/>
    <w:rsid w:val="00657F75"/>
    <w:rsid w:val="00660367"/>
    <w:rsid w:val="00663E32"/>
    <w:rsid w:val="006672DB"/>
    <w:rsid w:val="006701CD"/>
    <w:rsid w:val="00670D1B"/>
    <w:rsid w:val="00672AD6"/>
    <w:rsid w:val="00676632"/>
    <w:rsid w:val="00680505"/>
    <w:rsid w:val="00681D45"/>
    <w:rsid w:val="0068569A"/>
    <w:rsid w:val="00687624"/>
    <w:rsid w:val="00692F55"/>
    <w:rsid w:val="00693159"/>
    <w:rsid w:val="00694B23"/>
    <w:rsid w:val="006A27AE"/>
    <w:rsid w:val="006A4D71"/>
    <w:rsid w:val="006A7918"/>
    <w:rsid w:val="006A7945"/>
    <w:rsid w:val="006B34EE"/>
    <w:rsid w:val="006B3CEC"/>
    <w:rsid w:val="006B4F95"/>
    <w:rsid w:val="006C3E1D"/>
    <w:rsid w:val="006C3EEF"/>
    <w:rsid w:val="006C5640"/>
    <w:rsid w:val="006D05E0"/>
    <w:rsid w:val="006D0F5F"/>
    <w:rsid w:val="006D187B"/>
    <w:rsid w:val="006D47C9"/>
    <w:rsid w:val="006D6D23"/>
    <w:rsid w:val="006E2FCE"/>
    <w:rsid w:val="006E6DBB"/>
    <w:rsid w:val="006F0DC4"/>
    <w:rsid w:val="006F2E99"/>
    <w:rsid w:val="006F6388"/>
    <w:rsid w:val="00703A37"/>
    <w:rsid w:val="007135CB"/>
    <w:rsid w:val="0071567A"/>
    <w:rsid w:val="007167EC"/>
    <w:rsid w:val="00724134"/>
    <w:rsid w:val="00725A30"/>
    <w:rsid w:val="007319A0"/>
    <w:rsid w:val="00731E55"/>
    <w:rsid w:val="00741E2A"/>
    <w:rsid w:val="00747F1B"/>
    <w:rsid w:val="0075455B"/>
    <w:rsid w:val="00755B72"/>
    <w:rsid w:val="00756426"/>
    <w:rsid w:val="0075774F"/>
    <w:rsid w:val="00762B66"/>
    <w:rsid w:val="0076568E"/>
    <w:rsid w:val="0076795F"/>
    <w:rsid w:val="00767FE1"/>
    <w:rsid w:val="00771AFA"/>
    <w:rsid w:val="0078152D"/>
    <w:rsid w:val="0078226B"/>
    <w:rsid w:val="00782350"/>
    <w:rsid w:val="007834B8"/>
    <w:rsid w:val="007852A9"/>
    <w:rsid w:val="00786990"/>
    <w:rsid w:val="00791EE3"/>
    <w:rsid w:val="00793AB2"/>
    <w:rsid w:val="007950BA"/>
    <w:rsid w:val="007972C9"/>
    <w:rsid w:val="007A4ACC"/>
    <w:rsid w:val="007A4C31"/>
    <w:rsid w:val="007B1AB4"/>
    <w:rsid w:val="007B30FD"/>
    <w:rsid w:val="007B44A6"/>
    <w:rsid w:val="007C03BC"/>
    <w:rsid w:val="007C7161"/>
    <w:rsid w:val="007D107D"/>
    <w:rsid w:val="007D39B8"/>
    <w:rsid w:val="007D618D"/>
    <w:rsid w:val="007E0DE7"/>
    <w:rsid w:val="007E3242"/>
    <w:rsid w:val="007E5EEB"/>
    <w:rsid w:val="007E747A"/>
    <w:rsid w:val="007F4073"/>
    <w:rsid w:val="00806889"/>
    <w:rsid w:val="00811152"/>
    <w:rsid w:val="008118EE"/>
    <w:rsid w:val="008143AB"/>
    <w:rsid w:val="008201BF"/>
    <w:rsid w:val="00823FD9"/>
    <w:rsid w:val="00830E2F"/>
    <w:rsid w:val="008444EB"/>
    <w:rsid w:val="0084520E"/>
    <w:rsid w:val="00863B5E"/>
    <w:rsid w:val="00865B13"/>
    <w:rsid w:val="00867AE9"/>
    <w:rsid w:val="00880170"/>
    <w:rsid w:val="00882990"/>
    <w:rsid w:val="00893CEE"/>
    <w:rsid w:val="0089639A"/>
    <w:rsid w:val="008A0183"/>
    <w:rsid w:val="008A10C4"/>
    <w:rsid w:val="008A52AB"/>
    <w:rsid w:val="008A5EB4"/>
    <w:rsid w:val="008B2865"/>
    <w:rsid w:val="008B4D4B"/>
    <w:rsid w:val="008B61C7"/>
    <w:rsid w:val="008B7A02"/>
    <w:rsid w:val="008B7EC5"/>
    <w:rsid w:val="008C0D27"/>
    <w:rsid w:val="008C1ADC"/>
    <w:rsid w:val="008C49E7"/>
    <w:rsid w:val="008C7122"/>
    <w:rsid w:val="008D1352"/>
    <w:rsid w:val="008D3299"/>
    <w:rsid w:val="008E086C"/>
    <w:rsid w:val="008E0AD6"/>
    <w:rsid w:val="008E10ED"/>
    <w:rsid w:val="008E1297"/>
    <w:rsid w:val="008E2F47"/>
    <w:rsid w:val="008E769A"/>
    <w:rsid w:val="008E7719"/>
    <w:rsid w:val="008F10A9"/>
    <w:rsid w:val="008F1D4D"/>
    <w:rsid w:val="008F7235"/>
    <w:rsid w:val="008F758E"/>
    <w:rsid w:val="008F7812"/>
    <w:rsid w:val="009027B9"/>
    <w:rsid w:val="009063D5"/>
    <w:rsid w:val="0090770A"/>
    <w:rsid w:val="009224C4"/>
    <w:rsid w:val="00927F13"/>
    <w:rsid w:val="009448AB"/>
    <w:rsid w:val="00947991"/>
    <w:rsid w:val="0095006F"/>
    <w:rsid w:val="0095160E"/>
    <w:rsid w:val="00952252"/>
    <w:rsid w:val="00953ABC"/>
    <w:rsid w:val="009612BE"/>
    <w:rsid w:val="009612D0"/>
    <w:rsid w:val="009638E0"/>
    <w:rsid w:val="00964923"/>
    <w:rsid w:val="009672D7"/>
    <w:rsid w:val="009732B2"/>
    <w:rsid w:val="00973E1A"/>
    <w:rsid w:val="00977A8E"/>
    <w:rsid w:val="00980B88"/>
    <w:rsid w:val="00980F3C"/>
    <w:rsid w:val="00991BC0"/>
    <w:rsid w:val="00991E52"/>
    <w:rsid w:val="009941CF"/>
    <w:rsid w:val="009A0DDF"/>
    <w:rsid w:val="009A3B69"/>
    <w:rsid w:val="009A68CB"/>
    <w:rsid w:val="009B05EE"/>
    <w:rsid w:val="009B1108"/>
    <w:rsid w:val="009C064F"/>
    <w:rsid w:val="009C306F"/>
    <w:rsid w:val="009C4E35"/>
    <w:rsid w:val="009C7330"/>
    <w:rsid w:val="009C7E57"/>
    <w:rsid w:val="009E2564"/>
    <w:rsid w:val="009E3E85"/>
    <w:rsid w:val="009E63F3"/>
    <w:rsid w:val="009E7042"/>
    <w:rsid w:val="009F0603"/>
    <w:rsid w:val="009F1AD5"/>
    <w:rsid w:val="009F1C0D"/>
    <w:rsid w:val="009F21DF"/>
    <w:rsid w:val="009F2B0D"/>
    <w:rsid w:val="009F4334"/>
    <w:rsid w:val="00A0552C"/>
    <w:rsid w:val="00A076F2"/>
    <w:rsid w:val="00A11E8F"/>
    <w:rsid w:val="00A150BC"/>
    <w:rsid w:val="00A17C2E"/>
    <w:rsid w:val="00A26604"/>
    <w:rsid w:val="00A43AD5"/>
    <w:rsid w:val="00A45E0B"/>
    <w:rsid w:val="00A50334"/>
    <w:rsid w:val="00A520DC"/>
    <w:rsid w:val="00A5273C"/>
    <w:rsid w:val="00A52A30"/>
    <w:rsid w:val="00A530B6"/>
    <w:rsid w:val="00A558A5"/>
    <w:rsid w:val="00A6077D"/>
    <w:rsid w:val="00A62323"/>
    <w:rsid w:val="00A674F9"/>
    <w:rsid w:val="00A71C7E"/>
    <w:rsid w:val="00A73A2F"/>
    <w:rsid w:val="00A76423"/>
    <w:rsid w:val="00A86839"/>
    <w:rsid w:val="00A86E3E"/>
    <w:rsid w:val="00A9357C"/>
    <w:rsid w:val="00A95662"/>
    <w:rsid w:val="00AA56F3"/>
    <w:rsid w:val="00AA75F1"/>
    <w:rsid w:val="00AB1927"/>
    <w:rsid w:val="00AB2E69"/>
    <w:rsid w:val="00AB6AA9"/>
    <w:rsid w:val="00AC5E0F"/>
    <w:rsid w:val="00AD1572"/>
    <w:rsid w:val="00AD6BBD"/>
    <w:rsid w:val="00AE1420"/>
    <w:rsid w:val="00AE28ED"/>
    <w:rsid w:val="00AE564B"/>
    <w:rsid w:val="00B00680"/>
    <w:rsid w:val="00B05F52"/>
    <w:rsid w:val="00B06A6F"/>
    <w:rsid w:val="00B11A62"/>
    <w:rsid w:val="00B11CAB"/>
    <w:rsid w:val="00B14808"/>
    <w:rsid w:val="00B160C1"/>
    <w:rsid w:val="00B16BCF"/>
    <w:rsid w:val="00B17426"/>
    <w:rsid w:val="00B174AD"/>
    <w:rsid w:val="00B23C96"/>
    <w:rsid w:val="00B25E7F"/>
    <w:rsid w:val="00B269C8"/>
    <w:rsid w:val="00B318BE"/>
    <w:rsid w:val="00B3306F"/>
    <w:rsid w:val="00B34290"/>
    <w:rsid w:val="00B35894"/>
    <w:rsid w:val="00B359CE"/>
    <w:rsid w:val="00B35A12"/>
    <w:rsid w:val="00B40F3F"/>
    <w:rsid w:val="00B4376D"/>
    <w:rsid w:val="00B43D33"/>
    <w:rsid w:val="00B44C0A"/>
    <w:rsid w:val="00B44D4D"/>
    <w:rsid w:val="00B4779B"/>
    <w:rsid w:val="00B50356"/>
    <w:rsid w:val="00B571BE"/>
    <w:rsid w:val="00B63E63"/>
    <w:rsid w:val="00B71B09"/>
    <w:rsid w:val="00B723B5"/>
    <w:rsid w:val="00B827F4"/>
    <w:rsid w:val="00B90955"/>
    <w:rsid w:val="00B934B0"/>
    <w:rsid w:val="00B9433F"/>
    <w:rsid w:val="00B94D93"/>
    <w:rsid w:val="00B97437"/>
    <w:rsid w:val="00BA2627"/>
    <w:rsid w:val="00BA3FC8"/>
    <w:rsid w:val="00BA4BAF"/>
    <w:rsid w:val="00BA5831"/>
    <w:rsid w:val="00BA6A73"/>
    <w:rsid w:val="00BA7AC0"/>
    <w:rsid w:val="00BA7B7D"/>
    <w:rsid w:val="00BB2E45"/>
    <w:rsid w:val="00BB47DF"/>
    <w:rsid w:val="00BB5CCD"/>
    <w:rsid w:val="00BC04D6"/>
    <w:rsid w:val="00BC360A"/>
    <w:rsid w:val="00BC588A"/>
    <w:rsid w:val="00BC6112"/>
    <w:rsid w:val="00BC6B34"/>
    <w:rsid w:val="00BD1C99"/>
    <w:rsid w:val="00BD20C6"/>
    <w:rsid w:val="00BD4412"/>
    <w:rsid w:val="00BE1790"/>
    <w:rsid w:val="00BE1D6A"/>
    <w:rsid w:val="00BE2BC0"/>
    <w:rsid w:val="00BE433F"/>
    <w:rsid w:val="00BE48DF"/>
    <w:rsid w:val="00BE4BDC"/>
    <w:rsid w:val="00BF09ED"/>
    <w:rsid w:val="00BF3BA9"/>
    <w:rsid w:val="00C03CA1"/>
    <w:rsid w:val="00C16BDE"/>
    <w:rsid w:val="00C311B9"/>
    <w:rsid w:val="00C318C0"/>
    <w:rsid w:val="00C322C8"/>
    <w:rsid w:val="00C322CA"/>
    <w:rsid w:val="00C41210"/>
    <w:rsid w:val="00C463A2"/>
    <w:rsid w:val="00C53CBF"/>
    <w:rsid w:val="00C55848"/>
    <w:rsid w:val="00C6031F"/>
    <w:rsid w:val="00C657E6"/>
    <w:rsid w:val="00C67576"/>
    <w:rsid w:val="00C678A9"/>
    <w:rsid w:val="00C70F28"/>
    <w:rsid w:val="00C742E5"/>
    <w:rsid w:val="00C74F60"/>
    <w:rsid w:val="00C76C0A"/>
    <w:rsid w:val="00C77C5E"/>
    <w:rsid w:val="00C81CFE"/>
    <w:rsid w:val="00C857D0"/>
    <w:rsid w:val="00C900D8"/>
    <w:rsid w:val="00C943F5"/>
    <w:rsid w:val="00CA24C4"/>
    <w:rsid w:val="00CA2A6C"/>
    <w:rsid w:val="00CA637E"/>
    <w:rsid w:val="00CA6847"/>
    <w:rsid w:val="00CC04D1"/>
    <w:rsid w:val="00CC28F4"/>
    <w:rsid w:val="00CD46C9"/>
    <w:rsid w:val="00CD634A"/>
    <w:rsid w:val="00CD63B8"/>
    <w:rsid w:val="00CD68B0"/>
    <w:rsid w:val="00CE1F41"/>
    <w:rsid w:val="00CE3A5F"/>
    <w:rsid w:val="00CE51D3"/>
    <w:rsid w:val="00CE6DAF"/>
    <w:rsid w:val="00CF0567"/>
    <w:rsid w:val="00CF4D1C"/>
    <w:rsid w:val="00CF72F3"/>
    <w:rsid w:val="00CF7ACB"/>
    <w:rsid w:val="00D029E8"/>
    <w:rsid w:val="00D05949"/>
    <w:rsid w:val="00D065FB"/>
    <w:rsid w:val="00D06EDF"/>
    <w:rsid w:val="00D07907"/>
    <w:rsid w:val="00D15912"/>
    <w:rsid w:val="00D22BFF"/>
    <w:rsid w:val="00D24940"/>
    <w:rsid w:val="00D25785"/>
    <w:rsid w:val="00D268E0"/>
    <w:rsid w:val="00D279C4"/>
    <w:rsid w:val="00D27BF2"/>
    <w:rsid w:val="00D356CC"/>
    <w:rsid w:val="00D36596"/>
    <w:rsid w:val="00D437D5"/>
    <w:rsid w:val="00D566FF"/>
    <w:rsid w:val="00D57A70"/>
    <w:rsid w:val="00D63C2D"/>
    <w:rsid w:val="00D679AA"/>
    <w:rsid w:val="00D71857"/>
    <w:rsid w:val="00D737C4"/>
    <w:rsid w:val="00D745C2"/>
    <w:rsid w:val="00D82A34"/>
    <w:rsid w:val="00D84A31"/>
    <w:rsid w:val="00D85671"/>
    <w:rsid w:val="00D8762E"/>
    <w:rsid w:val="00D9132E"/>
    <w:rsid w:val="00D9174A"/>
    <w:rsid w:val="00D95C95"/>
    <w:rsid w:val="00D96829"/>
    <w:rsid w:val="00DA1A63"/>
    <w:rsid w:val="00DA43E2"/>
    <w:rsid w:val="00DA4762"/>
    <w:rsid w:val="00DB3680"/>
    <w:rsid w:val="00DB3964"/>
    <w:rsid w:val="00DB470E"/>
    <w:rsid w:val="00DC3C76"/>
    <w:rsid w:val="00DC5DBE"/>
    <w:rsid w:val="00DC5E57"/>
    <w:rsid w:val="00DC7AF9"/>
    <w:rsid w:val="00DD3A4A"/>
    <w:rsid w:val="00DD4464"/>
    <w:rsid w:val="00DD480D"/>
    <w:rsid w:val="00DD5E7B"/>
    <w:rsid w:val="00DD7731"/>
    <w:rsid w:val="00DE2218"/>
    <w:rsid w:val="00DE32EC"/>
    <w:rsid w:val="00DE643B"/>
    <w:rsid w:val="00DE65B4"/>
    <w:rsid w:val="00DE76BC"/>
    <w:rsid w:val="00DF1B02"/>
    <w:rsid w:val="00DF3763"/>
    <w:rsid w:val="00DF6E0D"/>
    <w:rsid w:val="00E01883"/>
    <w:rsid w:val="00E02534"/>
    <w:rsid w:val="00E027AC"/>
    <w:rsid w:val="00E03FFE"/>
    <w:rsid w:val="00E06045"/>
    <w:rsid w:val="00E061B0"/>
    <w:rsid w:val="00E07402"/>
    <w:rsid w:val="00E07750"/>
    <w:rsid w:val="00E1003C"/>
    <w:rsid w:val="00E132AC"/>
    <w:rsid w:val="00E14F5B"/>
    <w:rsid w:val="00E1673E"/>
    <w:rsid w:val="00E20A2A"/>
    <w:rsid w:val="00E20E87"/>
    <w:rsid w:val="00E23593"/>
    <w:rsid w:val="00E256D0"/>
    <w:rsid w:val="00E27513"/>
    <w:rsid w:val="00E31B97"/>
    <w:rsid w:val="00E335CF"/>
    <w:rsid w:val="00E34AD0"/>
    <w:rsid w:val="00E36AAC"/>
    <w:rsid w:val="00E42522"/>
    <w:rsid w:val="00E43D36"/>
    <w:rsid w:val="00E449C5"/>
    <w:rsid w:val="00E45C17"/>
    <w:rsid w:val="00E515F2"/>
    <w:rsid w:val="00E5315A"/>
    <w:rsid w:val="00E55FBA"/>
    <w:rsid w:val="00E570C2"/>
    <w:rsid w:val="00E61F78"/>
    <w:rsid w:val="00E632F9"/>
    <w:rsid w:val="00E63345"/>
    <w:rsid w:val="00E65E4B"/>
    <w:rsid w:val="00E67D22"/>
    <w:rsid w:val="00E777C3"/>
    <w:rsid w:val="00E82C66"/>
    <w:rsid w:val="00E85043"/>
    <w:rsid w:val="00E87AB7"/>
    <w:rsid w:val="00E900BC"/>
    <w:rsid w:val="00E9070C"/>
    <w:rsid w:val="00E92006"/>
    <w:rsid w:val="00E9213A"/>
    <w:rsid w:val="00E94029"/>
    <w:rsid w:val="00E95241"/>
    <w:rsid w:val="00EA1F88"/>
    <w:rsid w:val="00EA32AE"/>
    <w:rsid w:val="00EA3CA2"/>
    <w:rsid w:val="00EA7A15"/>
    <w:rsid w:val="00EB23BF"/>
    <w:rsid w:val="00EB4FE5"/>
    <w:rsid w:val="00EB5883"/>
    <w:rsid w:val="00EB7780"/>
    <w:rsid w:val="00EC6347"/>
    <w:rsid w:val="00ED2FA0"/>
    <w:rsid w:val="00ED45BE"/>
    <w:rsid w:val="00ED5FE3"/>
    <w:rsid w:val="00F00BC8"/>
    <w:rsid w:val="00F0527B"/>
    <w:rsid w:val="00F06A88"/>
    <w:rsid w:val="00F12D77"/>
    <w:rsid w:val="00F142D7"/>
    <w:rsid w:val="00F2352C"/>
    <w:rsid w:val="00F25E12"/>
    <w:rsid w:val="00F27CF4"/>
    <w:rsid w:val="00F31CCA"/>
    <w:rsid w:val="00F32FAB"/>
    <w:rsid w:val="00F33B5A"/>
    <w:rsid w:val="00F3590E"/>
    <w:rsid w:val="00F427AE"/>
    <w:rsid w:val="00F4336A"/>
    <w:rsid w:val="00F44434"/>
    <w:rsid w:val="00F45256"/>
    <w:rsid w:val="00F4698C"/>
    <w:rsid w:val="00F52EBC"/>
    <w:rsid w:val="00F53B2B"/>
    <w:rsid w:val="00F57A5D"/>
    <w:rsid w:val="00F63026"/>
    <w:rsid w:val="00F64313"/>
    <w:rsid w:val="00F65178"/>
    <w:rsid w:val="00F70D55"/>
    <w:rsid w:val="00F764A6"/>
    <w:rsid w:val="00F80FE4"/>
    <w:rsid w:val="00F81801"/>
    <w:rsid w:val="00F81A2D"/>
    <w:rsid w:val="00F82977"/>
    <w:rsid w:val="00F905B9"/>
    <w:rsid w:val="00F929E6"/>
    <w:rsid w:val="00F94895"/>
    <w:rsid w:val="00F9725C"/>
    <w:rsid w:val="00FA0176"/>
    <w:rsid w:val="00FA4FAF"/>
    <w:rsid w:val="00FB0C35"/>
    <w:rsid w:val="00FB1385"/>
    <w:rsid w:val="00FB40A1"/>
    <w:rsid w:val="00FB70BD"/>
    <w:rsid w:val="00FB798B"/>
    <w:rsid w:val="00FC603E"/>
    <w:rsid w:val="00FD13A9"/>
    <w:rsid w:val="00FD1C86"/>
    <w:rsid w:val="00FD3A6A"/>
    <w:rsid w:val="00FD58FF"/>
    <w:rsid w:val="00FD6AFD"/>
    <w:rsid w:val="00FE0FC5"/>
    <w:rsid w:val="00FE1A53"/>
    <w:rsid w:val="00FE5D0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96B34-0DC5-45D1-AA26-56A741C3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0BC"/>
    <w:rPr>
      <w:rFonts w:ascii="Century Gothic" w:eastAsia="Times New Roman" w:hAnsi="Century Gothic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00BC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E900BC"/>
    <w:pPr>
      <w:keepNext/>
      <w:spacing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C900D8"/>
    <w:rPr>
      <w:rFonts w:ascii="Verdana" w:hAnsi="Verdana"/>
      <w:sz w:val="20"/>
    </w:rPr>
  </w:style>
  <w:style w:type="paragraph" w:styleId="TOC3">
    <w:name w:val="toc 3"/>
    <w:basedOn w:val="Normal"/>
    <w:next w:val="Normal"/>
    <w:autoRedefine/>
    <w:semiHidden/>
    <w:rsid w:val="00C900D8"/>
    <w:pPr>
      <w:ind w:left="480"/>
    </w:pPr>
    <w:rPr>
      <w:rFonts w:ascii="Verdana" w:hAnsi="Verdana"/>
      <w:sz w:val="20"/>
    </w:rPr>
  </w:style>
  <w:style w:type="paragraph" w:styleId="TOC2">
    <w:name w:val="toc 2"/>
    <w:basedOn w:val="Normal"/>
    <w:next w:val="Normal"/>
    <w:autoRedefine/>
    <w:semiHidden/>
    <w:rsid w:val="00C900D8"/>
    <w:pPr>
      <w:ind w:left="240"/>
    </w:pPr>
    <w:rPr>
      <w:rFonts w:ascii="Verdana" w:hAnsi="Verdana"/>
      <w:sz w:val="20"/>
    </w:rPr>
  </w:style>
  <w:style w:type="table" w:styleId="TableGrid">
    <w:name w:val="Table Grid"/>
    <w:basedOn w:val="TableNormal"/>
    <w:rsid w:val="003171F4"/>
    <w:pPr>
      <w:tabs>
        <w:tab w:val="left" w:pos="567"/>
        <w:tab w:val="left" w:pos="1134"/>
        <w:tab w:val="left" w:pos="1702"/>
        <w:tab w:val="left" w:pos="2269"/>
        <w:tab w:val="left" w:pos="2835"/>
      </w:tabs>
      <w:spacing w:line="240" w:lineRule="atLeast"/>
    </w:pPr>
    <w:rPr>
      <w:rFonts w:ascii="Arial Narrow" w:eastAsia="Times New Roman" w:hAnsi="Arial Narrow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  <w:tblStylePr w:type="firstRow">
      <w:rPr>
        <w:rFonts w:ascii="Arial" w:hAnsi="Arial"/>
        <w:b w:val="0"/>
        <w:sz w:val="18"/>
      </w:rPr>
    </w:tblStylePr>
  </w:style>
  <w:style w:type="paragraph" w:styleId="ListParagraph">
    <w:name w:val="List Paragraph"/>
    <w:basedOn w:val="Normal"/>
    <w:uiPriority w:val="34"/>
    <w:qFormat/>
    <w:rsid w:val="001867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779B"/>
    <w:rPr>
      <w:rFonts w:ascii="Arial" w:eastAsia="Times New Roman" w:hAnsi="Arial" w:cs="Arial"/>
      <w:b/>
      <w:bCs/>
      <w:i/>
      <w:iCs/>
      <w:sz w:val="2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B4779B"/>
    <w:rPr>
      <w:rFonts w:ascii="Century Gothic" w:eastAsia="Times New Roman" w:hAnsi="Century Gothic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rsid w:val="002847D5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C857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s://www.afsa.gov.au/online-services/practitioner-online-services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17</Pages>
  <Words>1506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Estate Return</vt:lpstr>
    </vt:vector>
  </TitlesOfParts>
  <Company>..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Estate Return</dc:title>
  <dc:subject/>
  <dc:creator>..</dc:creator>
  <cp:keywords/>
  <dc:description/>
  <cp:lastModifiedBy>Stewart L. McLeod</cp:lastModifiedBy>
  <cp:revision>66</cp:revision>
  <dcterms:created xsi:type="dcterms:W3CDTF">2015-04-08T02:45:00Z</dcterms:created>
  <dcterms:modified xsi:type="dcterms:W3CDTF">2015-06-10T02:32:00Z</dcterms:modified>
</cp:coreProperties>
</file>