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79" w:type="dxa"/>
        <w:tblLook w:val="04A0" w:firstRow="1" w:lastRow="0" w:firstColumn="1" w:lastColumn="0" w:noHBand="0" w:noVBand="1"/>
      </w:tblPr>
      <w:tblGrid>
        <w:gridCol w:w="2747"/>
        <w:gridCol w:w="2918"/>
        <w:gridCol w:w="4536"/>
        <w:gridCol w:w="4678"/>
      </w:tblGrid>
      <w:tr w:rsidR="00C501ED" w:rsidRPr="0000174E" w:rsidTr="00B910F7">
        <w:trPr>
          <w:tblHeader/>
        </w:trPr>
        <w:tc>
          <w:tcPr>
            <w:tcW w:w="2747" w:type="dxa"/>
          </w:tcPr>
          <w:p w:rsidR="00A67439" w:rsidRPr="00A67439" w:rsidRDefault="00A67439" w:rsidP="00A67439">
            <w:pPr>
              <w:ind w:left="0"/>
              <w:rPr>
                <w:b/>
                <w:u w:val="single"/>
              </w:rPr>
            </w:pPr>
            <w:r w:rsidRPr="00A67439">
              <w:rPr>
                <w:b/>
                <w:u w:val="single"/>
              </w:rPr>
              <w:t>Corporations Act</w:t>
            </w:r>
          </w:p>
          <w:p w:rsidR="00C501ED" w:rsidRDefault="00A67439" w:rsidP="00A67439">
            <w:pPr>
              <w:ind w:left="0"/>
              <w:rPr>
                <w:b/>
                <w:u w:val="single"/>
              </w:rPr>
            </w:pPr>
            <w:r w:rsidRPr="00A67439">
              <w:rPr>
                <w:b/>
                <w:u w:val="single"/>
              </w:rPr>
              <w:t>Section Reference</w:t>
            </w:r>
          </w:p>
          <w:p w:rsidR="00CD1517" w:rsidRPr="0000174E" w:rsidRDefault="00CD1517" w:rsidP="00A67439">
            <w:pPr>
              <w:ind w:left="0"/>
              <w:rPr>
                <w:b/>
                <w:u w:val="single"/>
              </w:rPr>
            </w:pPr>
          </w:p>
        </w:tc>
        <w:tc>
          <w:tcPr>
            <w:tcW w:w="2918" w:type="dxa"/>
          </w:tcPr>
          <w:p w:rsidR="00C501ED" w:rsidRPr="0000174E" w:rsidRDefault="0000174E" w:rsidP="00A67439">
            <w:pPr>
              <w:ind w:left="0"/>
              <w:rPr>
                <w:b/>
                <w:u w:val="single"/>
              </w:rPr>
            </w:pPr>
            <w:r>
              <w:rPr>
                <w:b/>
                <w:u w:val="single"/>
              </w:rPr>
              <w:t>Description of Section</w:t>
            </w:r>
          </w:p>
        </w:tc>
        <w:tc>
          <w:tcPr>
            <w:tcW w:w="4536" w:type="dxa"/>
          </w:tcPr>
          <w:p w:rsidR="00C501ED" w:rsidRPr="0000174E" w:rsidRDefault="00C501ED" w:rsidP="004D3F2C">
            <w:pPr>
              <w:ind w:left="0"/>
              <w:rPr>
                <w:b/>
                <w:u w:val="single"/>
              </w:rPr>
            </w:pPr>
            <w:r w:rsidRPr="0000174E">
              <w:rPr>
                <w:b/>
                <w:u w:val="single"/>
              </w:rPr>
              <w:t>Relevant Legislation Change</w:t>
            </w:r>
          </w:p>
        </w:tc>
        <w:tc>
          <w:tcPr>
            <w:tcW w:w="4678" w:type="dxa"/>
          </w:tcPr>
          <w:p w:rsidR="00C501ED" w:rsidRPr="0000174E" w:rsidRDefault="006201BF" w:rsidP="004D3F2C">
            <w:pPr>
              <w:ind w:left="0"/>
              <w:rPr>
                <w:b/>
                <w:u w:val="single"/>
              </w:rPr>
            </w:pPr>
            <w:r>
              <w:rPr>
                <w:b/>
                <w:u w:val="single"/>
              </w:rPr>
              <w:t xml:space="preserve">New forms, </w:t>
            </w:r>
            <w:r w:rsidR="00C95FCB">
              <w:rPr>
                <w:b/>
                <w:u w:val="single"/>
              </w:rPr>
              <w:t xml:space="preserve">Software </w:t>
            </w:r>
            <w:r w:rsidRPr="0000174E">
              <w:rPr>
                <w:b/>
                <w:u w:val="single"/>
              </w:rPr>
              <w:t>Change</w:t>
            </w:r>
            <w:r>
              <w:rPr>
                <w:b/>
                <w:u w:val="single"/>
              </w:rPr>
              <w:t>s</w:t>
            </w:r>
            <w:r>
              <w:rPr>
                <w:b/>
                <w:u w:val="single"/>
              </w:rPr>
              <w:t xml:space="preserve"> </w:t>
            </w:r>
            <w:r w:rsidR="00C95FCB">
              <w:rPr>
                <w:b/>
                <w:u w:val="single"/>
              </w:rPr>
              <w:t xml:space="preserve">and </w:t>
            </w:r>
            <w:r w:rsidR="00C501ED" w:rsidRPr="0000174E">
              <w:rPr>
                <w:b/>
                <w:u w:val="single"/>
              </w:rPr>
              <w:t>Workflow Operational Change</w:t>
            </w:r>
            <w:r w:rsidR="00DE4337">
              <w:rPr>
                <w:b/>
                <w:u w:val="single"/>
              </w:rPr>
              <w:t>s</w:t>
            </w:r>
            <w:r w:rsidR="00DE4337">
              <w:rPr>
                <w:b/>
                <w:u w:val="single"/>
              </w:rPr>
              <w:br/>
            </w:r>
          </w:p>
        </w:tc>
      </w:tr>
      <w:tr w:rsidR="00CD1517" w:rsidRPr="0000174E" w:rsidTr="00B910F7">
        <w:trPr>
          <w:tblHeader/>
        </w:trPr>
        <w:tc>
          <w:tcPr>
            <w:tcW w:w="2747" w:type="dxa"/>
          </w:tcPr>
          <w:p w:rsidR="00CD1517" w:rsidRPr="00A67439" w:rsidRDefault="00CD1517" w:rsidP="00A67439">
            <w:pPr>
              <w:ind w:left="0"/>
              <w:rPr>
                <w:b/>
                <w:u w:val="single"/>
              </w:rPr>
            </w:pPr>
            <w:r w:rsidRPr="00473A1C">
              <w:t>Schedule</w:t>
            </w:r>
            <w:r>
              <w:t xml:space="preserve"> 1</w:t>
            </w:r>
          </w:p>
        </w:tc>
        <w:tc>
          <w:tcPr>
            <w:tcW w:w="2918" w:type="dxa"/>
          </w:tcPr>
          <w:p w:rsidR="00197C54" w:rsidRDefault="00197C54" w:rsidP="00A67439">
            <w:pPr>
              <w:ind w:left="0"/>
              <w:rPr>
                <w:b/>
                <w:u w:val="single"/>
              </w:rPr>
            </w:pPr>
          </w:p>
          <w:p w:rsidR="00197C54" w:rsidRPr="00197C54" w:rsidRDefault="00197C54" w:rsidP="00197C54"/>
          <w:p w:rsidR="00197C54" w:rsidRPr="00197C54" w:rsidRDefault="00197C54" w:rsidP="00197C54"/>
          <w:p w:rsidR="00197C54" w:rsidRPr="00197C54" w:rsidRDefault="00197C54" w:rsidP="00197C54"/>
          <w:p w:rsidR="00197C54" w:rsidRPr="00197C54" w:rsidRDefault="00197C54" w:rsidP="00197C54"/>
          <w:p w:rsidR="00197C54" w:rsidRPr="00197C54" w:rsidRDefault="00197C54" w:rsidP="00197C54"/>
          <w:p w:rsidR="00197C54" w:rsidRPr="00197C54" w:rsidRDefault="00197C54" w:rsidP="00197C54"/>
          <w:p w:rsidR="00197C54" w:rsidRPr="00197C54" w:rsidRDefault="00197C54" w:rsidP="00197C54"/>
          <w:p w:rsidR="00197C54" w:rsidRPr="00197C54" w:rsidRDefault="00197C54" w:rsidP="00197C54"/>
          <w:p w:rsidR="00197C54" w:rsidRDefault="00197C54" w:rsidP="00197C54"/>
          <w:p w:rsidR="00CD1517" w:rsidRPr="00197C54" w:rsidRDefault="00CD1517" w:rsidP="00197C54">
            <w:pPr>
              <w:jc w:val="center"/>
            </w:pPr>
          </w:p>
        </w:tc>
        <w:tc>
          <w:tcPr>
            <w:tcW w:w="4536" w:type="dxa"/>
          </w:tcPr>
          <w:p w:rsidR="00CD1517" w:rsidRPr="00DC227A" w:rsidRDefault="00CD1517" w:rsidP="00CD1517">
            <w:pPr>
              <w:ind w:left="0"/>
            </w:pPr>
            <w:r w:rsidRPr="00DC227A">
              <w:t>The object of this Schedule is to ensure that any person registered as a liquidator:</w:t>
            </w:r>
          </w:p>
          <w:p w:rsidR="00CD1517" w:rsidRPr="00DC227A" w:rsidRDefault="00CD1517" w:rsidP="00CD1517">
            <w:pPr>
              <w:ind w:left="0"/>
            </w:pPr>
            <w:r w:rsidRPr="00DC227A">
              <w:t>(a) has an appropriate level of expertise; and</w:t>
            </w:r>
          </w:p>
          <w:p w:rsidR="00CD1517" w:rsidRPr="00DC227A" w:rsidRDefault="00CD1517" w:rsidP="00CD1517">
            <w:pPr>
              <w:ind w:left="0"/>
            </w:pPr>
            <w:r w:rsidRPr="00DC227A">
              <w:t>(b) behaves ethically; and</w:t>
            </w:r>
          </w:p>
          <w:p w:rsidR="00CD1517" w:rsidRPr="00DC227A" w:rsidRDefault="00CD1517" w:rsidP="00CD1517">
            <w:pPr>
              <w:ind w:left="0"/>
            </w:pPr>
            <w:r w:rsidRPr="00DC227A">
              <w:t xml:space="preserve">(c) </w:t>
            </w:r>
            <w:proofErr w:type="gramStart"/>
            <w:r w:rsidRPr="00DC227A">
              <w:t>maintains</w:t>
            </w:r>
            <w:proofErr w:type="gramEnd"/>
            <w:r w:rsidRPr="00DC227A">
              <w:t xml:space="preserve"> sufficient insurance to cover his or her liabilities in practising as a registered liquidator.</w:t>
            </w:r>
          </w:p>
          <w:p w:rsidR="00CD1517" w:rsidRPr="00DC227A" w:rsidRDefault="00CD1517" w:rsidP="00CD1517">
            <w:pPr>
              <w:pStyle w:val="Default"/>
              <w:rPr>
                <w:rFonts w:asciiTheme="minorHAnsi" w:hAnsiTheme="minorHAnsi" w:cstheme="minorBidi"/>
                <w:color w:val="auto"/>
                <w:sz w:val="22"/>
                <w:szCs w:val="22"/>
              </w:rPr>
            </w:pPr>
            <w:r w:rsidRPr="00DC227A">
              <w:rPr>
                <w:rFonts w:asciiTheme="minorHAnsi" w:hAnsiTheme="minorHAnsi" w:cstheme="minorBidi"/>
                <w:color w:val="auto"/>
                <w:sz w:val="22"/>
                <w:szCs w:val="22"/>
              </w:rPr>
              <w:t xml:space="preserve">(2) The object of this Schedule is also: </w:t>
            </w:r>
          </w:p>
          <w:p w:rsidR="00CD1517" w:rsidRPr="00DC227A" w:rsidRDefault="00CD1517" w:rsidP="00CD1517">
            <w:pPr>
              <w:pStyle w:val="Default"/>
              <w:rPr>
                <w:rFonts w:asciiTheme="minorHAnsi" w:hAnsiTheme="minorHAnsi" w:cstheme="minorBidi"/>
                <w:color w:val="auto"/>
                <w:sz w:val="22"/>
                <w:szCs w:val="22"/>
              </w:rPr>
            </w:pPr>
            <w:r w:rsidRPr="00DC227A">
              <w:rPr>
                <w:rFonts w:asciiTheme="minorHAnsi" w:hAnsiTheme="minorHAnsi" w:cstheme="minorBidi"/>
                <w:color w:val="auto"/>
                <w:sz w:val="22"/>
                <w:szCs w:val="22"/>
              </w:rPr>
              <w:t xml:space="preserve">(a) to regulate the external administration of companies consistently, unless there is a clear reason to treat a matter that arises in relation to a particular kind of external administration differently; and </w:t>
            </w:r>
          </w:p>
          <w:p w:rsidR="00CD1517" w:rsidRPr="0000174E" w:rsidRDefault="00CD1517" w:rsidP="00CD1517">
            <w:pPr>
              <w:ind w:left="0"/>
              <w:rPr>
                <w:b/>
                <w:u w:val="single"/>
              </w:rPr>
            </w:pPr>
            <w:r>
              <w:t xml:space="preserve">(b) </w:t>
            </w:r>
            <w:proofErr w:type="gramStart"/>
            <w:r>
              <w:t>to</w:t>
            </w:r>
            <w:proofErr w:type="gramEnd"/>
            <w:r>
              <w:t xml:space="preserve"> regulate the external administration of companies to give greater control to creditors.</w:t>
            </w:r>
          </w:p>
        </w:tc>
        <w:tc>
          <w:tcPr>
            <w:tcW w:w="4678" w:type="dxa"/>
          </w:tcPr>
          <w:p w:rsidR="00CD1517" w:rsidRDefault="00CD1517" w:rsidP="004D3F2C">
            <w:pPr>
              <w:ind w:left="0"/>
              <w:rPr>
                <w:b/>
                <w:u w:val="single"/>
              </w:rPr>
            </w:pPr>
          </w:p>
        </w:tc>
      </w:tr>
      <w:tr w:rsidR="00DC227A" w:rsidRPr="0000174E" w:rsidTr="00B910F7">
        <w:trPr>
          <w:tblHeader/>
        </w:trPr>
        <w:tc>
          <w:tcPr>
            <w:tcW w:w="2747" w:type="dxa"/>
          </w:tcPr>
          <w:p w:rsidR="00DC227A" w:rsidRPr="00A67439" w:rsidRDefault="00CD1517" w:rsidP="00A67439">
            <w:pPr>
              <w:ind w:left="0"/>
              <w:rPr>
                <w:b/>
                <w:u w:val="single"/>
              </w:rPr>
            </w:pPr>
            <w:r w:rsidRPr="00CD1517">
              <w:t>Division 20—Registering liquidators</w:t>
            </w:r>
          </w:p>
        </w:tc>
        <w:tc>
          <w:tcPr>
            <w:tcW w:w="2918" w:type="dxa"/>
          </w:tcPr>
          <w:p w:rsidR="00DC227A" w:rsidRPr="007C62B1" w:rsidRDefault="00DC227A" w:rsidP="00A67439">
            <w:pPr>
              <w:ind w:left="0"/>
            </w:pPr>
          </w:p>
        </w:tc>
        <w:tc>
          <w:tcPr>
            <w:tcW w:w="4536" w:type="dxa"/>
          </w:tcPr>
          <w:p w:rsidR="007C62B1" w:rsidRPr="007C62B1" w:rsidRDefault="007C62B1" w:rsidP="007C62B1">
            <w:pPr>
              <w:pStyle w:val="Default"/>
              <w:rPr>
                <w:rFonts w:asciiTheme="minorHAnsi" w:hAnsiTheme="minorHAnsi" w:cstheme="minorBidi"/>
                <w:color w:val="auto"/>
                <w:sz w:val="22"/>
                <w:szCs w:val="22"/>
              </w:rPr>
            </w:pPr>
            <w:r w:rsidRPr="007C62B1">
              <w:rPr>
                <w:rFonts w:asciiTheme="minorHAnsi" w:hAnsiTheme="minorHAnsi" w:cstheme="minorBidi"/>
                <w:color w:val="auto"/>
                <w:sz w:val="22"/>
                <w:szCs w:val="22"/>
              </w:rPr>
              <w:t xml:space="preserve">A registered liquidator must: </w:t>
            </w:r>
          </w:p>
          <w:p w:rsidR="007C62B1" w:rsidRPr="007C62B1" w:rsidRDefault="007C62B1" w:rsidP="007C62B1">
            <w:pPr>
              <w:pStyle w:val="Default"/>
              <w:rPr>
                <w:rFonts w:asciiTheme="minorHAnsi" w:hAnsiTheme="minorHAnsi" w:cstheme="minorBidi"/>
                <w:color w:val="auto"/>
                <w:sz w:val="22"/>
                <w:szCs w:val="22"/>
              </w:rPr>
            </w:pPr>
            <w:r w:rsidRPr="007C62B1">
              <w:rPr>
                <w:rFonts w:asciiTheme="minorHAnsi" w:hAnsiTheme="minorHAnsi" w:cstheme="minorBidi"/>
                <w:color w:val="auto"/>
                <w:sz w:val="22"/>
                <w:szCs w:val="22"/>
              </w:rPr>
              <w:t xml:space="preserve">(a) lodge an annual return with ASIC that includes proof that the liquidator has appropriate insurance; and </w:t>
            </w:r>
          </w:p>
          <w:p w:rsidR="00DC227A" w:rsidRPr="007C62B1" w:rsidRDefault="007C62B1" w:rsidP="007C62B1">
            <w:pPr>
              <w:ind w:left="0"/>
            </w:pPr>
            <w:r>
              <w:t xml:space="preserve">(b) </w:t>
            </w:r>
            <w:proofErr w:type="gramStart"/>
            <w:r>
              <w:t>give</w:t>
            </w:r>
            <w:proofErr w:type="gramEnd"/>
            <w:r>
              <w:t xml:space="preserve"> ASIC notice if the liquidator’s circumstances change or if certain other events happen.</w:t>
            </w:r>
          </w:p>
        </w:tc>
        <w:tc>
          <w:tcPr>
            <w:tcW w:w="4678" w:type="dxa"/>
          </w:tcPr>
          <w:p w:rsidR="00CD1517" w:rsidRPr="007C62B1" w:rsidRDefault="00CD1517" w:rsidP="00CD1517">
            <w:pPr>
              <w:ind w:left="0"/>
            </w:pPr>
            <w:r w:rsidRPr="007C62B1">
              <w:t xml:space="preserve">There will be a </w:t>
            </w:r>
            <w:r>
              <w:t xml:space="preserve">new/replacement form </w:t>
            </w:r>
            <w:r w:rsidRPr="007C62B1">
              <w:t>equivalent to the existing ASIC Form</w:t>
            </w:r>
          </w:p>
          <w:p w:rsidR="00CD1517" w:rsidRPr="007C62B1" w:rsidRDefault="00CD1517" w:rsidP="00CD1517">
            <w:pPr>
              <w:ind w:left="0"/>
            </w:pPr>
          </w:p>
          <w:p w:rsidR="00CD1517" w:rsidRPr="00CD1517" w:rsidRDefault="00CD1517" w:rsidP="00CD1517">
            <w:pPr>
              <w:ind w:left="0"/>
              <w:rPr>
                <w:b/>
                <w:color w:val="4472C4" w:themeColor="accent5"/>
                <w:u w:val="single"/>
              </w:rPr>
            </w:pPr>
            <w:r w:rsidRPr="00CD1517">
              <w:rPr>
                <w:b/>
                <w:color w:val="4472C4" w:themeColor="accent5"/>
                <w:u w:val="single"/>
              </w:rPr>
              <w:t xml:space="preserve">Form </w:t>
            </w:r>
            <w:hyperlink r:id="rId7" w:history="1">
              <w:r w:rsidRPr="00CD1517">
                <w:rPr>
                  <w:b/>
                  <w:color w:val="4472C4" w:themeColor="accent5"/>
                  <w:u w:val="single"/>
                </w:rPr>
                <w:t>908 Annual statement by a liquidator.</w:t>
              </w:r>
            </w:hyperlink>
          </w:p>
          <w:p w:rsidR="00DC227A" w:rsidRDefault="00DC227A" w:rsidP="004D3F2C">
            <w:pPr>
              <w:ind w:left="0"/>
              <w:rPr>
                <w:b/>
                <w:u w:val="single"/>
              </w:rPr>
            </w:pPr>
          </w:p>
        </w:tc>
      </w:tr>
    </w:tbl>
    <w:p w:rsidR="00CD1517" w:rsidRDefault="00CD1517" w:rsidP="004D3F2C">
      <w:pPr>
        <w:tabs>
          <w:tab w:val="left" w:pos="2860"/>
          <w:tab w:val="left" w:pos="5778"/>
          <w:tab w:val="left" w:pos="10314"/>
        </w:tabs>
        <w:ind w:left="113"/>
        <w:rPr>
          <w:b/>
          <w:u w:val="single"/>
        </w:rPr>
      </w:pPr>
    </w:p>
    <w:tbl>
      <w:tblPr>
        <w:tblStyle w:val="TableGrid"/>
        <w:tblW w:w="14879" w:type="dxa"/>
        <w:tblLook w:val="04A0" w:firstRow="1" w:lastRow="0" w:firstColumn="1" w:lastColumn="0" w:noHBand="0" w:noVBand="1"/>
      </w:tblPr>
      <w:tblGrid>
        <w:gridCol w:w="2747"/>
        <w:gridCol w:w="2918"/>
        <w:gridCol w:w="4536"/>
        <w:gridCol w:w="4678"/>
      </w:tblGrid>
      <w:tr w:rsidR="00A907C7" w:rsidRPr="0000174E" w:rsidTr="00B812C2">
        <w:trPr>
          <w:tblHeader/>
        </w:trPr>
        <w:tc>
          <w:tcPr>
            <w:tcW w:w="2747" w:type="dxa"/>
          </w:tcPr>
          <w:p w:rsidR="00A907C7" w:rsidRPr="00A67439" w:rsidRDefault="00A907C7" w:rsidP="00B812C2">
            <w:pPr>
              <w:ind w:left="0"/>
              <w:rPr>
                <w:b/>
                <w:u w:val="single"/>
              </w:rPr>
            </w:pPr>
            <w:r w:rsidRPr="00A67439">
              <w:rPr>
                <w:b/>
                <w:u w:val="single"/>
              </w:rPr>
              <w:t>Corporations Act</w:t>
            </w:r>
          </w:p>
          <w:p w:rsidR="00A907C7" w:rsidRDefault="00A907C7" w:rsidP="00B812C2">
            <w:pPr>
              <w:ind w:left="0"/>
              <w:rPr>
                <w:b/>
                <w:u w:val="single"/>
              </w:rPr>
            </w:pPr>
            <w:r w:rsidRPr="00A67439">
              <w:rPr>
                <w:b/>
                <w:u w:val="single"/>
              </w:rPr>
              <w:t>Section Reference</w:t>
            </w:r>
          </w:p>
          <w:p w:rsidR="00A907C7" w:rsidRPr="0000174E" w:rsidRDefault="00A907C7" w:rsidP="00B812C2">
            <w:pPr>
              <w:ind w:left="0"/>
              <w:rPr>
                <w:b/>
                <w:u w:val="single"/>
              </w:rPr>
            </w:pPr>
          </w:p>
        </w:tc>
        <w:tc>
          <w:tcPr>
            <w:tcW w:w="2918" w:type="dxa"/>
          </w:tcPr>
          <w:p w:rsidR="00A907C7" w:rsidRPr="0000174E" w:rsidRDefault="00A907C7" w:rsidP="00B812C2">
            <w:pPr>
              <w:ind w:left="0"/>
              <w:rPr>
                <w:b/>
                <w:u w:val="single"/>
              </w:rPr>
            </w:pPr>
            <w:r>
              <w:rPr>
                <w:b/>
                <w:u w:val="single"/>
              </w:rPr>
              <w:t>Description of Section</w:t>
            </w:r>
          </w:p>
        </w:tc>
        <w:tc>
          <w:tcPr>
            <w:tcW w:w="4536" w:type="dxa"/>
          </w:tcPr>
          <w:p w:rsidR="00A907C7" w:rsidRPr="0000174E" w:rsidRDefault="00A907C7" w:rsidP="00B812C2">
            <w:pPr>
              <w:ind w:left="0"/>
              <w:rPr>
                <w:b/>
                <w:u w:val="single"/>
              </w:rPr>
            </w:pPr>
            <w:r w:rsidRPr="0000174E">
              <w:rPr>
                <w:b/>
                <w:u w:val="single"/>
              </w:rPr>
              <w:t>Relevant Legislation Change</w:t>
            </w:r>
          </w:p>
        </w:tc>
        <w:tc>
          <w:tcPr>
            <w:tcW w:w="4678" w:type="dxa"/>
          </w:tcPr>
          <w:p w:rsidR="00A907C7" w:rsidRPr="0000174E" w:rsidRDefault="00A907C7" w:rsidP="00B812C2">
            <w:pPr>
              <w:ind w:left="0"/>
              <w:rPr>
                <w:b/>
                <w:u w:val="single"/>
              </w:rPr>
            </w:pPr>
            <w:r>
              <w:rPr>
                <w:b/>
                <w:u w:val="single"/>
              </w:rPr>
              <w:t xml:space="preserve">New forms, Software </w:t>
            </w:r>
            <w:r w:rsidRPr="0000174E">
              <w:rPr>
                <w:b/>
                <w:u w:val="single"/>
              </w:rPr>
              <w:t>Change</w:t>
            </w:r>
            <w:r>
              <w:rPr>
                <w:b/>
                <w:u w:val="single"/>
              </w:rPr>
              <w:t xml:space="preserve">s and </w:t>
            </w:r>
            <w:r w:rsidRPr="0000174E">
              <w:rPr>
                <w:b/>
                <w:u w:val="single"/>
              </w:rPr>
              <w:t>Workflow Operational Change</w:t>
            </w:r>
            <w:r>
              <w:rPr>
                <w:b/>
                <w:u w:val="single"/>
              </w:rPr>
              <w:t>s</w:t>
            </w:r>
            <w:r>
              <w:rPr>
                <w:b/>
                <w:u w:val="single"/>
              </w:rPr>
              <w:br/>
            </w:r>
          </w:p>
        </w:tc>
      </w:tr>
      <w:tr w:rsidR="00CD1517" w:rsidRPr="0000174E" w:rsidTr="00B812C2">
        <w:trPr>
          <w:tblHeader/>
        </w:trPr>
        <w:tc>
          <w:tcPr>
            <w:tcW w:w="2747" w:type="dxa"/>
          </w:tcPr>
          <w:p w:rsidR="00CD1517" w:rsidRPr="00A67439" w:rsidRDefault="00CD1517" w:rsidP="00B812C2">
            <w:pPr>
              <w:ind w:left="0"/>
              <w:rPr>
                <w:b/>
                <w:u w:val="single"/>
              </w:rPr>
            </w:pPr>
            <w:r w:rsidRPr="00A67439">
              <w:rPr>
                <w:b/>
                <w:u w:val="single"/>
              </w:rPr>
              <w:t>Corporations Act</w:t>
            </w:r>
          </w:p>
          <w:p w:rsidR="00CD1517" w:rsidRPr="0000174E" w:rsidRDefault="00CD1517" w:rsidP="00B812C2">
            <w:pPr>
              <w:ind w:left="0"/>
              <w:rPr>
                <w:b/>
                <w:u w:val="single"/>
              </w:rPr>
            </w:pPr>
            <w:r w:rsidRPr="00A67439">
              <w:rPr>
                <w:b/>
                <w:u w:val="single"/>
              </w:rPr>
              <w:t>Section Reference</w:t>
            </w:r>
          </w:p>
        </w:tc>
        <w:tc>
          <w:tcPr>
            <w:tcW w:w="2918" w:type="dxa"/>
          </w:tcPr>
          <w:p w:rsidR="00CD1517" w:rsidRPr="0000174E" w:rsidRDefault="00CD1517" w:rsidP="00B812C2">
            <w:pPr>
              <w:ind w:left="0"/>
              <w:rPr>
                <w:b/>
                <w:u w:val="single"/>
              </w:rPr>
            </w:pPr>
            <w:r>
              <w:rPr>
                <w:b/>
                <w:u w:val="single"/>
              </w:rPr>
              <w:t>Description of Section</w:t>
            </w:r>
          </w:p>
        </w:tc>
        <w:tc>
          <w:tcPr>
            <w:tcW w:w="4536" w:type="dxa"/>
          </w:tcPr>
          <w:p w:rsidR="00CD1517" w:rsidRPr="0000174E" w:rsidRDefault="00CD1517" w:rsidP="00B812C2">
            <w:pPr>
              <w:ind w:left="0"/>
              <w:rPr>
                <w:b/>
                <w:u w:val="single"/>
              </w:rPr>
            </w:pPr>
            <w:r w:rsidRPr="0000174E">
              <w:rPr>
                <w:b/>
                <w:u w:val="single"/>
              </w:rPr>
              <w:t>Relevant Legislation Change</w:t>
            </w:r>
          </w:p>
        </w:tc>
        <w:tc>
          <w:tcPr>
            <w:tcW w:w="4678" w:type="dxa"/>
          </w:tcPr>
          <w:p w:rsidR="00CD1517" w:rsidRPr="0000174E" w:rsidRDefault="00CD1517" w:rsidP="00B812C2">
            <w:pPr>
              <w:ind w:left="0"/>
              <w:rPr>
                <w:b/>
                <w:u w:val="single"/>
              </w:rPr>
            </w:pPr>
            <w:r>
              <w:rPr>
                <w:b/>
                <w:u w:val="single"/>
              </w:rPr>
              <w:t xml:space="preserve">Software and </w:t>
            </w:r>
            <w:r w:rsidRPr="0000174E">
              <w:rPr>
                <w:b/>
                <w:u w:val="single"/>
              </w:rPr>
              <w:t>Workflow Operational Change</w:t>
            </w:r>
            <w:r>
              <w:rPr>
                <w:b/>
                <w:u w:val="single"/>
              </w:rPr>
              <w:t>s</w:t>
            </w:r>
            <w:r>
              <w:rPr>
                <w:b/>
                <w:u w:val="single"/>
              </w:rPr>
              <w:br/>
            </w:r>
          </w:p>
        </w:tc>
      </w:tr>
      <w:tr w:rsidR="00DC227A" w:rsidRPr="0000174E" w:rsidTr="00F20269">
        <w:trPr>
          <w:tblHeader/>
        </w:trPr>
        <w:tc>
          <w:tcPr>
            <w:tcW w:w="14879" w:type="dxa"/>
            <w:gridSpan w:val="4"/>
          </w:tcPr>
          <w:p w:rsidR="00DC227A" w:rsidRDefault="00DC227A" w:rsidP="004D3F2C">
            <w:pPr>
              <w:ind w:left="0"/>
              <w:rPr>
                <w:b/>
                <w:u w:val="single"/>
              </w:rPr>
            </w:pPr>
            <w:r w:rsidRPr="00473A1C">
              <w:t>Schedule</w:t>
            </w:r>
            <w:r>
              <w:t xml:space="preserve"> 3</w:t>
            </w:r>
          </w:p>
        </w:tc>
      </w:tr>
      <w:tr w:rsidR="00473A1C" w:rsidRPr="0000174E" w:rsidTr="00B910F7">
        <w:trPr>
          <w:tblHeader/>
        </w:trPr>
        <w:tc>
          <w:tcPr>
            <w:tcW w:w="14879" w:type="dxa"/>
            <w:gridSpan w:val="4"/>
          </w:tcPr>
          <w:p w:rsidR="00473A1C" w:rsidRDefault="00473A1C" w:rsidP="004D3F2C">
            <w:pPr>
              <w:ind w:left="0"/>
            </w:pPr>
            <w:r w:rsidRPr="00473A1C">
              <w:t>Part 1—Payments for property</w:t>
            </w:r>
          </w:p>
          <w:p w:rsidR="00473A1C" w:rsidRDefault="00473A1C" w:rsidP="004D3F2C">
            <w:pPr>
              <w:ind w:left="0"/>
              <w:rPr>
                <w:b/>
                <w:u w:val="single"/>
              </w:rPr>
            </w:pPr>
          </w:p>
        </w:tc>
      </w:tr>
      <w:tr w:rsidR="00473A1C" w:rsidRPr="0000174E" w:rsidTr="00B910F7">
        <w:trPr>
          <w:tblHeader/>
        </w:trPr>
        <w:tc>
          <w:tcPr>
            <w:tcW w:w="2747" w:type="dxa"/>
          </w:tcPr>
          <w:p w:rsidR="00473A1C" w:rsidRDefault="00473A1C" w:rsidP="004D3F2C">
            <w:pPr>
              <w:ind w:left="0"/>
              <w:rPr>
                <w:bCs/>
                <w:sz w:val="23"/>
                <w:szCs w:val="23"/>
              </w:rPr>
            </w:pPr>
            <w:r w:rsidRPr="00473A1C">
              <w:rPr>
                <w:bCs/>
                <w:sz w:val="23"/>
                <w:szCs w:val="23"/>
              </w:rPr>
              <w:t>Subsection 443B(3)</w:t>
            </w:r>
          </w:p>
          <w:p w:rsidR="00473A1C" w:rsidRPr="00C95FCB" w:rsidRDefault="00473A1C" w:rsidP="00473A1C">
            <w:pPr>
              <w:ind w:left="0"/>
              <w:rPr>
                <w:bCs/>
                <w:sz w:val="23"/>
                <w:szCs w:val="23"/>
              </w:rPr>
            </w:pPr>
          </w:p>
          <w:p w:rsidR="00473A1C" w:rsidRPr="00473A1C" w:rsidRDefault="00473A1C" w:rsidP="00473A1C">
            <w:pPr>
              <w:ind w:left="0"/>
              <w:rPr>
                <w:rStyle w:val="Hyperlink"/>
                <w:b/>
                <w:bCs/>
                <w:sz w:val="23"/>
                <w:szCs w:val="23"/>
              </w:rPr>
            </w:pPr>
            <w:r>
              <w:rPr>
                <w:b/>
                <w:bCs/>
                <w:sz w:val="23"/>
                <w:szCs w:val="23"/>
              </w:rPr>
              <w:fldChar w:fldCharType="begin"/>
            </w:r>
            <w:r>
              <w:rPr>
                <w:b/>
                <w:bCs/>
                <w:sz w:val="23"/>
                <w:szCs w:val="23"/>
              </w:rPr>
              <w:instrText xml:space="preserve"> HYPERLINK "http://www.austlii.edu.au/au/legis/cth/consol_act/ca2001172/s443b.html" </w:instrText>
            </w:r>
            <w:r>
              <w:rPr>
                <w:b/>
                <w:bCs/>
                <w:sz w:val="23"/>
                <w:szCs w:val="23"/>
              </w:rPr>
              <w:fldChar w:fldCharType="separate"/>
            </w:r>
            <w:r w:rsidRPr="00473A1C">
              <w:rPr>
                <w:rStyle w:val="Hyperlink"/>
                <w:b/>
                <w:bCs/>
                <w:sz w:val="23"/>
                <w:szCs w:val="23"/>
              </w:rPr>
              <w:t>s443b</w:t>
            </w:r>
          </w:p>
          <w:p w:rsidR="00473A1C" w:rsidRPr="00473A1C" w:rsidRDefault="00473A1C" w:rsidP="004D3F2C">
            <w:pPr>
              <w:ind w:left="0"/>
              <w:rPr>
                <w:u w:val="single"/>
              </w:rPr>
            </w:pPr>
            <w:r>
              <w:rPr>
                <w:b/>
                <w:bCs/>
                <w:sz w:val="23"/>
                <w:szCs w:val="23"/>
              </w:rPr>
              <w:fldChar w:fldCharType="end"/>
            </w:r>
          </w:p>
        </w:tc>
        <w:tc>
          <w:tcPr>
            <w:tcW w:w="2918" w:type="dxa"/>
          </w:tcPr>
          <w:p w:rsidR="00473A1C" w:rsidRPr="00473A1C" w:rsidRDefault="00473A1C" w:rsidP="00473A1C">
            <w:pPr>
              <w:ind w:left="0"/>
              <w:rPr>
                <w:u w:val="single"/>
              </w:rPr>
            </w:pPr>
            <w:r w:rsidRPr="00473A1C">
              <w:rPr>
                <w:bCs/>
              </w:rPr>
              <w:t>Payments for property used or occupied by, or in the possession of, the company</w:t>
            </w:r>
          </w:p>
        </w:tc>
        <w:tc>
          <w:tcPr>
            <w:tcW w:w="4536" w:type="dxa"/>
          </w:tcPr>
          <w:p w:rsidR="00473A1C" w:rsidRPr="00473A1C" w:rsidRDefault="00473A1C" w:rsidP="00473A1C">
            <w:pPr>
              <w:ind w:left="0"/>
            </w:pPr>
            <w:r w:rsidRPr="00473A1C">
              <w:t>Repeal the subsection, substitute:</w:t>
            </w:r>
          </w:p>
          <w:p w:rsidR="00473A1C" w:rsidRPr="00473A1C" w:rsidRDefault="00473A1C" w:rsidP="00473A1C">
            <w:pPr>
              <w:ind w:left="0"/>
            </w:pPr>
            <w:r w:rsidRPr="00473A1C">
              <w:t>(3) Within 5 business days after the beginning of the administration, the administrator may give to the owner or lessor a notice that:</w:t>
            </w:r>
          </w:p>
          <w:p w:rsidR="00473A1C" w:rsidRPr="00473A1C" w:rsidRDefault="00473A1C" w:rsidP="00473A1C">
            <w:pPr>
              <w:ind w:left="0"/>
            </w:pPr>
            <w:r w:rsidRPr="00473A1C">
              <w:t>(a) specifies the property; and</w:t>
            </w:r>
          </w:p>
          <w:p w:rsidR="00473A1C" w:rsidRPr="00473A1C" w:rsidRDefault="00473A1C" w:rsidP="00473A1C">
            <w:pPr>
              <w:ind w:left="0"/>
            </w:pPr>
            <w:r w:rsidRPr="00473A1C">
              <w:t>(b) states that the company does not propose to exercise rights in relation to the property; and</w:t>
            </w:r>
          </w:p>
          <w:p w:rsidR="00473A1C" w:rsidRPr="00473A1C" w:rsidRDefault="00473A1C" w:rsidP="00473A1C">
            <w:pPr>
              <w:ind w:left="0"/>
            </w:pPr>
            <w:r w:rsidRPr="00473A1C">
              <w:t>(c) if the administrator:</w:t>
            </w:r>
          </w:p>
          <w:p w:rsidR="00473A1C" w:rsidRPr="00473A1C" w:rsidRDefault="00473A1C" w:rsidP="00473A1C">
            <w:pPr>
              <w:ind w:left="0"/>
            </w:pPr>
            <w:r w:rsidRPr="00473A1C">
              <w:t>(</w:t>
            </w:r>
            <w:proofErr w:type="spellStart"/>
            <w:r w:rsidRPr="00473A1C">
              <w:t>i</w:t>
            </w:r>
            <w:proofErr w:type="spellEnd"/>
            <w:r w:rsidRPr="00473A1C">
              <w:t>) knows the location of the property; or</w:t>
            </w:r>
          </w:p>
          <w:p w:rsidR="00473A1C" w:rsidRPr="00473A1C" w:rsidRDefault="00473A1C" w:rsidP="00473A1C">
            <w:pPr>
              <w:ind w:left="0"/>
            </w:pPr>
            <w:r w:rsidRPr="00473A1C">
              <w:t>(ii) could, by the exercise of reasonable diligence, know the location of the property;</w:t>
            </w:r>
          </w:p>
          <w:p w:rsidR="00473A1C" w:rsidRPr="0000174E" w:rsidRDefault="00473A1C" w:rsidP="00473A1C">
            <w:pPr>
              <w:ind w:left="0"/>
              <w:rPr>
                <w:b/>
                <w:u w:val="single"/>
              </w:rPr>
            </w:pPr>
            <w:proofErr w:type="gramStart"/>
            <w:r w:rsidRPr="00473A1C">
              <w:t>specifies</w:t>
            </w:r>
            <w:proofErr w:type="gramEnd"/>
            <w:r w:rsidRPr="00473A1C">
              <w:t xml:space="preserve"> the location of the property.</w:t>
            </w:r>
          </w:p>
        </w:tc>
        <w:tc>
          <w:tcPr>
            <w:tcW w:w="4678" w:type="dxa"/>
          </w:tcPr>
          <w:p w:rsidR="00473A1C" w:rsidRPr="00473A1C" w:rsidRDefault="008D2F2C" w:rsidP="004D3F2C">
            <w:pPr>
              <w:ind w:left="0"/>
            </w:pPr>
            <w:r>
              <w:t xml:space="preserve">We don’t anticipate any changes </w:t>
            </w:r>
            <w:r w:rsidRPr="00473A1C">
              <w:t xml:space="preserve">to </w:t>
            </w:r>
            <w:r>
              <w:t xml:space="preserve">the standard templates for circulars </w:t>
            </w:r>
            <w:r w:rsidRPr="00473A1C">
              <w:t>to lessors</w:t>
            </w:r>
            <w:r>
              <w:t>, but, practitioners are advised to review any custom templates that may refer to the relevant revised sections.</w:t>
            </w:r>
          </w:p>
          <w:p w:rsidR="00473A1C" w:rsidRDefault="00473A1C" w:rsidP="004D3F2C">
            <w:pPr>
              <w:ind w:left="0"/>
              <w:rPr>
                <w:b/>
                <w:u w:val="single"/>
              </w:rPr>
            </w:pPr>
          </w:p>
        </w:tc>
      </w:tr>
      <w:tr w:rsidR="00B910F7" w:rsidRPr="00B910F7" w:rsidTr="00B910F7">
        <w:trPr>
          <w:tblHeader/>
        </w:trPr>
        <w:tc>
          <w:tcPr>
            <w:tcW w:w="14879" w:type="dxa"/>
            <w:gridSpan w:val="4"/>
          </w:tcPr>
          <w:p w:rsidR="00B910F7" w:rsidRDefault="00B910F7" w:rsidP="004D3F2C">
            <w:pPr>
              <w:ind w:left="0"/>
            </w:pPr>
            <w:r w:rsidRPr="00B910F7">
              <w:t>Part 2—Contravention of deed of company arrangement</w:t>
            </w:r>
          </w:p>
          <w:p w:rsidR="00B910F7" w:rsidRPr="00B910F7" w:rsidRDefault="00B910F7" w:rsidP="004D3F2C">
            <w:pPr>
              <w:ind w:left="0"/>
            </w:pPr>
          </w:p>
        </w:tc>
      </w:tr>
      <w:tr w:rsidR="00B910F7" w:rsidRPr="0000174E" w:rsidTr="00B910F7">
        <w:trPr>
          <w:tblHeader/>
        </w:trPr>
        <w:tc>
          <w:tcPr>
            <w:tcW w:w="2747" w:type="dxa"/>
          </w:tcPr>
          <w:p w:rsidR="00B910F7" w:rsidRPr="00A67439" w:rsidRDefault="00B910F7" w:rsidP="004D3F2C">
            <w:pPr>
              <w:ind w:left="0"/>
              <w:rPr>
                <w:bCs/>
                <w:sz w:val="23"/>
                <w:szCs w:val="23"/>
              </w:rPr>
            </w:pPr>
            <w:r w:rsidRPr="00A67439">
              <w:rPr>
                <w:bCs/>
                <w:sz w:val="23"/>
                <w:szCs w:val="23"/>
              </w:rPr>
              <w:t>445HA</w:t>
            </w:r>
          </w:p>
          <w:p w:rsidR="00B910F7" w:rsidRPr="00C95FCB" w:rsidRDefault="00B910F7" w:rsidP="00B910F7">
            <w:pPr>
              <w:ind w:left="0"/>
              <w:rPr>
                <w:bCs/>
                <w:sz w:val="23"/>
                <w:szCs w:val="23"/>
              </w:rPr>
            </w:pPr>
          </w:p>
          <w:p w:rsidR="00B910F7" w:rsidRPr="0000174E" w:rsidRDefault="00B910F7" w:rsidP="001B283D">
            <w:pPr>
              <w:ind w:left="0"/>
              <w:rPr>
                <w:b/>
                <w:u w:val="single"/>
              </w:rPr>
            </w:pPr>
          </w:p>
        </w:tc>
        <w:tc>
          <w:tcPr>
            <w:tcW w:w="2918" w:type="dxa"/>
          </w:tcPr>
          <w:p w:rsidR="00B910F7" w:rsidRPr="00B910F7" w:rsidRDefault="00B910F7" w:rsidP="004D3F2C">
            <w:pPr>
              <w:ind w:left="0"/>
            </w:pPr>
            <w:r w:rsidRPr="00B910F7">
              <w:t>Notification of contravention of deed of company arrangement</w:t>
            </w:r>
          </w:p>
        </w:tc>
        <w:tc>
          <w:tcPr>
            <w:tcW w:w="4536" w:type="dxa"/>
          </w:tcPr>
          <w:p w:rsidR="00B910F7" w:rsidRPr="00B910F7" w:rsidRDefault="00B910F7" w:rsidP="00B910F7">
            <w:pPr>
              <w:ind w:left="0"/>
            </w:pPr>
            <w:r w:rsidRPr="008D2F2C">
              <w:rPr>
                <w:b/>
              </w:rPr>
              <w:t>Director</w:t>
            </w:r>
            <w:r w:rsidRPr="00B910F7">
              <w:t xml:space="preserve"> to notify administrator</w:t>
            </w:r>
          </w:p>
          <w:p w:rsidR="00B910F7" w:rsidRPr="00B910F7" w:rsidRDefault="00B910F7" w:rsidP="00B910F7">
            <w:pPr>
              <w:ind w:left="0"/>
            </w:pPr>
            <w:r w:rsidRPr="00B910F7">
              <w:t>(1) If a director of a company that is subject to a deed of company arrangement becomes aware that:</w:t>
            </w:r>
          </w:p>
          <w:p w:rsidR="00B910F7" w:rsidRPr="00B910F7" w:rsidRDefault="00B910F7" w:rsidP="00B910F7">
            <w:pPr>
              <w:ind w:left="0"/>
            </w:pPr>
            <w:r w:rsidRPr="00B910F7">
              <w:t>(a) there has been a material contravention of the deed by a person bound by the deed (who may be the director); or</w:t>
            </w:r>
          </w:p>
          <w:p w:rsidR="00B910F7" w:rsidRPr="00B910F7" w:rsidRDefault="00B910F7" w:rsidP="00B910F7">
            <w:pPr>
              <w:ind w:left="0"/>
            </w:pPr>
            <w:r w:rsidRPr="00B910F7">
              <w:t>(b) there is likely to be a material contravention of the deed by a person bound by the deed (who may be the director);</w:t>
            </w:r>
          </w:p>
          <w:p w:rsidR="00B910F7" w:rsidRPr="0000174E" w:rsidRDefault="00B910F7" w:rsidP="00B910F7">
            <w:pPr>
              <w:ind w:left="0"/>
              <w:rPr>
                <w:b/>
                <w:u w:val="single"/>
              </w:rPr>
            </w:pPr>
            <w:proofErr w:type="gramStart"/>
            <w:r w:rsidRPr="00B910F7">
              <w:t>the</w:t>
            </w:r>
            <w:proofErr w:type="gramEnd"/>
            <w:r w:rsidRPr="00B910F7">
              <w:t xml:space="preserve"> director must, as soon as practicable after becoming aware of the contravention or likely contravention, give notice of the contravention or likely contravention to the administrator of the deed of company arrangement. The notice must be in the prescribed form.</w:t>
            </w:r>
          </w:p>
        </w:tc>
        <w:tc>
          <w:tcPr>
            <w:tcW w:w="4678" w:type="dxa"/>
          </w:tcPr>
          <w:p w:rsidR="00137077" w:rsidRDefault="008D2F2C" w:rsidP="001B283D">
            <w:pPr>
              <w:ind w:left="0"/>
            </w:pPr>
            <w:r>
              <w:rPr>
                <w:b/>
                <w:color w:val="4472C4" w:themeColor="accent5"/>
                <w:u w:val="single"/>
              </w:rPr>
              <w:t xml:space="preserve">A new </w:t>
            </w:r>
            <w:r w:rsidR="00137077" w:rsidRPr="00137077">
              <w:rPr>
                <w:b/>
                <w:color w:val="4472C4" w:themeColor="accent5"/>
                <w:u w:val="single"/>
              </w:rPr>
              <w:t>ASIC F</w:t>
            </w:r>
            <w:r>
              <w:rPr>
                <w:b/>
                <w:color w:val="4472C4" w:themeColor="accent5"/>
                <w:u w:val="single"/>
              </w:rPr>
              <w:t>orm is to be published</w:t>
            </w:r>
          </w:p>
          <w:p w:rsidR="00EC29BE" w:rsidRDefault="00EC29BE" w:rsidP="001B283D">
            <w:pPr>
              <w:ind w:left="0"/>
              <w:rPr>
                <w:b/>
                <w:u w:val="single"/>
              </w:rPr>
            </w:pPr>
          </w:p>
          <w:p w:rsidR="008D2F2C" w:rsidRPr="008D2F2C" w:rsidRDefault="008D2F2C" w:rsidP="001B283D">
            <w:pPr>
              <w:ind w:left="0"/>
            </w:pPr>
            <w:r w:rsidRPr="008D2F2C">
              <w:t>The directors’ notice may be attached as a schedule to the DOCA in future providing the means for the director to notify the administrator</w:t>
            </w:r>
          </w:p>
          <w:p w:rsidR="008D2F2C" w:rsidRPr="008D2F2C" w:rsidRDefault="008D2F2C" w:rsidP="001B283D">
            <w:pPr>
              <w:ind w:left="0"/>
            </w:pPr>
          </w:p>
          <w:p w:rsidR="008D2F2C" w:rsidRPr="008D2F2C" w:rsidRDefault="008D2F2C" w:rsidP="001B283D">
            <w:pPr>
              <w:ind w:left="0"/>
            </w:pPr>
            <w:r w:rsidRPr="008D2F2C">
              <w:t>A pro-forma will be added where a practitioner prepares the form on behalf of the directors.</w:t>
            </w:r>
          </w:p>
          <w:p w:rsidR="00D60BFF" w:rsidRPr="008D2F2C" w:rsidRDefault="00D60BFF" w:rsidP="001B283D">
            <w:pPr>
              <w:ind w:left="0"/>
            </w:pPr>
          </w:p>
          <w:p w:rsidR="00D60BFF" w:rsidRDefault="00D60BFF" w:rsidP="001B283D">
            <w:pPr>
              <w:ind w:left="0"/>
              <w:rPr>
                <w:b/>
                <w:u w:val="single"/>
              </w:rPr>
            </w:pPr>
          </w:p>
        </w:tc>
      </w:tr>
      <w:tr w:rsidR="00B910F7" w:rsidRPr="0000174E" w:rsidTr="00B910F7">
        <w:trPr>
          <w:tblHeader/>
        </w:trPr>
        <w:tc>
          <w:tcPr>
            <w:tcW w:w="2747" w:type="dxa"/>
          </w:tcPr>
          <w:p w:rsidR="00B910F7" w:rsidRPr="00A67439" w:rsidRDefault="00B910F7" w:rsidP="00B910F7">
            <w:pPr>
              <w:ind w:left="0"/>
              <w:rPr>
                <w:bCs/>
                <w:sz w:val="23"/>
                <w:szCs w:val="23"/>
              </w:rPr>
            </w:pPr>
            <w:r w:rsidRPr="00A67439">
              <w:rPr>
                <w:bCs/>
                <w:sz w:val="23"/>
                <w:szCs w:val="23"/>
              </w:rPr>
              <w:t>445HA</w:t>
            </w:r>
          </w:p>
          <w:p w:rsidR="00B910F7" w:rsidRPr="00C95FCB" w:rsidRDefault="00B910F7" w:rsidP="00B910F7">
            <w:pPr>
              <w:ind w:left="0"/>
              <w:rPr>
                <w:bCs/>
                <w:sz w:val="23"/>
                <w:szCs w:val="23"/>
              </w:rPr>
            </w:pPr>
          </w:p>
          <w:p w:rsidR="00B910F7" w:rsidRPr="0000174E" w:rsidRDefault="00B910F7" w:rsidP="001B283D">
            <w:pPr>
              <w:ind w:left="0"/>
              <w:rPr>
                <w:b/>
                <w:u w:val="single"/>
              </w:rPr>
            </w:pPr>
          </w:p>
        </w:tc>
        <w:tc>
          <w:tcPr>
            <w:tcW w:w="2918" w:type="dxa"/>
          </w:tcPr>
          <w:p w:rsidR="00B910F7" w:rsidRDefault="008D2F2C" w:rsidP="004D3F2C">
            <w:pPr>
              <w:ind w:left="0"/>
              <w:rPr>
                <w:b/>
                <w:u w:val="single"/>
              </w:rPr>
            </w:pPr>
            <w:r w:rsidRPr="00B910F7">
              <w:t>Notification of contravention of deed of company arrangement</w:t>
            </w:r>
          </w:p>
        </w:tc>
        <w:tc>
          <w:tcPr>
            <w:tcW w:w="4536" w:type="dxa"/>
          </w:tcPr>
          <w:p w:rsidR="00B910F7" w:rsidRPr="00B910F7" w:rsidRDefault="00B910F7" w:rsidP="00B910F7">
            <w:pPr>
              <w:ind w:left="0"/>
            </w:pPr>
            <w:r w:rsidRPr="008D2F2C">
              <w:rPr>
                <w:b/>
              </w:rPr>
              <w:t>Administrator</w:t>
            </w:r>
            <w:r w:rsidRPr="00B910F7">
              <w:t xml:space="preserve"> to notify company’s creditors</w:t>
            </w:r>
          </w:p>
          <w:p w:rsidR="00B910F7" w:rsidRPr="00B910F7" w:rsidRDefault="00B910F7" w:rsidP="00B910F7">
            <w:pPr>
              <w:ind w:left="0"/>
            </w:pPr>
            <w:r w:rsidRPr="00B910F7">
              <w:t>(2) If the administrator of a deed of company arrangement becomes aware that:</w:t>
            </w:r>
          </w:p>
          <w:p w:rsidR="00B910F7" w:rsidRPr="00B910F7" w:rsidRDefault="00B910F7" w:rsidP="00B910F7">
            <w:pPr>
              <w:ind w:left="0"/>
            </w:pPr>
            <w:r w:rsidRPr="00B910F7">
              <w:t>(a) there has been a material contravention of the deed by a person bound by the deed (who may be the administrator); or</w:t>
            </w:r>
          </w:p>
          <w:p w:rsidR="00B910F7" w:rsidRPr="00B910F7" w:rsidRDefault="00B910F7" w:rsidP="00B910F7">
            <w:pPr>
              <w:ind w:left="0"/>
            </w:pPr>
            <w:r w:rsidRPr="00B910F7">
              <w:t>(b) there is likely to be a material contravention of the deed by a person bound by the deed (who may be the administrator);</w:t>
            </w:r>
          </w:p>
          <w:p w:rsidR="00B910F7" w:rsidRPr="001B283D" w:rsidRDefault="00B910F7" w:rsidP="00B910F7">
            <w:pPr>
              <w:ind w:left="0"/>
            </w:pPr>
            <w:r w:rsidRPr="00B910F7">
              <w:t xml:space="preserve">the administrator must, as soon as practicable after becoming aware of the contravention or likely contravention, give notice of the contravention or likely contravention to as many of the </w:t>
            </w:r>
            <w:r>
              <w:t>company’s creditors as reasonably practicable. The notice must be in the prescribed form.</w:t>
            </w:r>
          </w:p>
        </w:tc>
        <w:tc>
          <w:tcPr>
            <w:tcW w:w="4678" w:type="dxa"/>
          </w:tcPr>
          <w:p w:rsidR="008D2F2C" w:rsidRDefault="008D2F2C" w:rsidP="008D2F2C">
            <w:pPr>
              <w:ind w:left="0"/>
            </w:pPr>
            <w:r>
              <w:rPr>
                <w:b/>
                <w:color w:val="4472C4" w:themeColor="accent5"/>
                <w:u w:val="single"/>
              </w:rPr>
              <w:t xml:space="preserve">A new </w:t>
            </w:r>
            <w:r w:rsidRPr="00137077">
              <w:rPr>
                <w:b/>
                <w:color w:val="4472C4" w:themeColor="accent5"/>
                <w:u w:val="single"/>
              </w:rPr>
              <w:t>ASIC F</w:t>
            </w:r>
            <w:r>
              <w:rPr>
                <w:b/>
                <w:color w:val="4472C4" w:themeColor="accent5"/>
                <w:u w:val="single"/>
              </w:rPr>
              <w:t>orm is to be published</w:t>
            </w:r>
          </w:p>
          <w:p w:rsidR="008D2F2C" w:rsidRDefault="008D2F2C" w:rsidP="008D2F2C">
            <w:pPr>
              <w:ind w:left="0"/>
              <w:rPr>
                <w:b/>
                <w:u w:val="single"/>
              </w:rPr>
            </w:pPr>
          </w:p>
          <w:p w:rsidR="008D2F2C" w:rsidRPr="00B910F7" w:rsidRDefault="008D2F2C" w:rsidP="008D2F2C">
            <w:pPr>
              <w:ind w:left="0"/>
            </w:pPr>
            <w:r w:rsidRPr="00B910F7">
              <w:t xml:space="preserve">Administrator </w:t>
            </w:r>
            <w:r>
              <w:t xml:space="preserve">will need to </w:t>
            </w:r>
            <w:r w:rsidRPr="00B910F7">
              <w:t xml:space="preserve">notify </w:t>
            </w:r>
            <w:r>
              <w:t xml:space="preserve">a </w:t>
            </w:r>
            <w:r w:rsidRPr="00B910F7">
              <w:t>company’s creditors</w:t>
            </w:r>
            <w:r>
              <w:t xml:space="preserve"> </w:t>
            </w:r>
            <w:r w:rsidRPr="00B910F7">
              <w:t>of contravention</w:t>
            </w:r>
            <w:r>
              <w:t xml:space="preserve"> of DOCA.</w:t>
            </w:r>
          </w:p>
          <w:p w:rsidR="00EC29BE" w:rsidRDefault="00EC29BE" w:rsidP="008D2F2C">
            <w:pPr>
              <w:ind w:left="0"/>
              <w:rPr>
                <w:b/>
                <w:u w:val="single"/>
              </w:rPr>
            </w:pPr>
          </w:p>
          <w:p w:rsidR="008D2F2C" w:rsidRDefault="008D2F2C" w:rsidP="008D2F2C">
            <w:pPr>
              <w:ind w:left="0"/>
              <w:rPr>
                <w:b/>
                <w:u w:val="single"/>
              </w:rPr>
            </w:pPr>
          </w:p>
        </w:tc>
      </w:tr>
      <w:tr w:rsidR="00473A1C" w:rsidRPr="0000174E" w:rsidTr="00B910F7">
        <w:trPr>
          <w:tblHeader/>
        </w:trPr>
        <w:tc>
          <w:tcPr>
            <w:tcW w:w="2747" w:type="dxa"/>
          </w:tcPr>
          <w:p w:rsidR="00473A1C" w:rsidRPr="00A67439" w:rsidRDefault="001B283D" w:rsidP="004D3F2C">
            <w:pPr>
              <w:ind w:left="0"/>
              <w:rPr>
                <w:u w:val="single"/>
              </w:rPr>
            </w:pPr>
            <w:r w:rsidRPr="00A67439">
              <w:rPr>
                <w:u w:val="single"/>
              </w:rPr>
              <w:t>After paragraph 482(2A)(d)</w:t>
            </w:r>
          </w:p>
          <w:p w:rsidR="001B283D" w:rsidRPr="00A67439" w:rsidRDefault="001B283D" w:rsidP="001B283D">
            <w:pPr>
              <w:ind w:left="0"/>
              <w:rPr>
                <w:bCs/>
                <w:sz w:val="23"/>
                <w:szCs w:val="23"/>
              </w:rPr>
            </w:pPr>
          </w:p>
          <w:p w:rsidR="001B283D" w:rsidRDefault="00C624FB" w:rsidP="001B283D">
            <w:pPr>
              <w:ind w:left="0"/>
              <w:rPr>
                <w:b/>
                <w:bCs/>
                <w:sz w:val="23"/>
                <w:szCs w:val="23"/>
              </w:rPr>
            </w:pPr>
            <w:hyperlink r:id="rId8" w:history="1">
              <w:r w:rsidR="001B283D">
                <w:rPr>
                  <w:rStyle w:val="Hyperlink"/>
                  <w:b/>
                  <w:bCs/>
                  <w:sz w:val="23"/>
                  <w:szCs w:val="23"/>
                </w:rPr>
                <w:t>s4</w:t>
              </w:r>
              <w:r w:rsidR="001B283D">
                <w:rPr>
                  <w:rStyle w:val="Hyperlink"/>
                  <w:b/>
                  <w:bCs/>
                  <w:sz w:val="23"/>
                  <w:szCs w:val="23"/>
                </w:rPr>
                <w:t>8</w:t>
              </w:r>
              <w:r w:rsidR="001B283D">
                <w:rPr>
                  <w:rStyle w:val="Hyperlink"/>
                  <w:b/>
                  <w:bCs/>
                  <w:sz w:val="23"/>
                  <w:szCs w:val="23"/>
                </w:rPr>
                <w:t>2</w:t>
              </w:r>
            </w:hyperlink>
          </w:p>
          <w:p w:rsidR="001B283D" w:rsidRPr="0000174E" w:rsidRDefault="001B283D" w:rsidP="004D3F2C">
            <w:pPr>
              <w:ind w:left="0"/>
              <w:rPr>
                <w:b/>
                <w:u w:val="single"/>
              </w:rPr>
            </w:pPr>
          </w:p>
        </w:tc>
        <w:tc>
          <w:tcPr>
            <w:tcW w:w="2918" w:type="dxa"/>
          </w:tcPr>
          <w:p w:rsidR="00473A1C" w:rsidRDefault="00473A1C" w:rsidP="004D3F2C">
            <w:pPr>
              <w:ind w:left="0"/>
              <w:rPr>
                <w:b/>
                <w:u w:val="single"/>
              </w:rPr>
            </w:pPr>
          </w:p>
        </w:tc>
        <w:tc>
          <w:tcPr>
            <w:tcW w:w="4536" w:type="dxa"/>
          </w:tcPr>
          <w:p w:rsidR="001B283D" w:rsidRPr="001B283D" w:rsidRDefault="001B283D" w:rsidP="001B283D">
            <w:pPr>
              <w:autoSpaceDE w:val="0"/>
              <w:autoSpaceDN w:val="0"/>
              <w:adjustRightInd w:val="0"/>
              <w:ind w:left="0"/>
            </w:pPr>
            <w:r w:rsidRPr="001B283D">
              <w:t xml:space="preserve">Insert: </w:t>
            </w:r>
          </w:p>
          <w:p w:rsidR="00473A1C" w:rsidRDefault="001B283D" w:rsidP="001B283D">
            <w:pPr>
              <w:ind w:left="0"/>
            </w:pPr>
            <w:r w:rsidRPr="001B283D">
              <w:t>(da) any notice that has been given to the administrator of the deed of company arrangement or the company’s creditors under section 445HA (notification of contravention of deed of company arrangement);</w:t>
            </w:r>
          </w:p>
          <w:p w:rsidR="00D60BFF" w:rsidRPr="001B283D" w:rsidRDefault="00D60BFF" w:rsidP="001B283D">
            <w:pPr>
              <w:ind w:left="0"/>
            </w:pPr>
          </w:p>
        </w:tc>
        <w:tc>
          <w:tcPr>
            <w:tcW w:w="4678" w:type="dxa"/>
          </w:tcPr>
          <w:p w:rsidR="00473A1C" w:rsidRDefault="00473A1C" w:rsidP="004D3F2C">
            <w:pPr>
              <w:ind w:left="0"/>
              <w:rPr>
                <w:b/>
                <w:u w:val="single"/>
              </w:rPr>
            </w:pPr>
          </w:p>
        </w:tc>
      </w:tr>
      <w:tr w:rsidR="001B283D" w:rsidRPr="0000174E" w:rsidTr="00A76713">
        <w:trPr>
          <w:tblHeader/>
        </w:trPr>
        <w:tc>
          <w:tcPr>
            <w:tcW w:w="14879" w:type="dxa"/>
            <w:gridSpan w:val="4"/>
          </w:tcPr>
          <w:p w:rsidR="001B283D" w:rsidRDefault="001B283D" w:rsidP="004D3F2C">
            <w:pPr>
              <w:ind w:left="0"/>
            </w:pPr>
            <w:r w:rsidRPr="001B283D">
              <w:t>Part 3—Company’s former name</w:t>
            </w:r>
          </w:p>
          <w:p w:rsidR="001B283D" w:rsidRPr="001B283D" w:rsidRDefault="001B283D" w:rsidP="004D3F2C">
            <w:pPr>
              <w:ind w:left="0"/>
            </w:pPr>
          </w:p>
        </w:tc>
      </w:tr>
      <w:tr w:rsidR="001B283D" w:rsidRPr="0000174E" w:rsidTr="00B910F7">
        <w:trPr>
          <w:tblHeader/>
        </w:trPr>
        <w:tc>
          <w:tcPr>
            <w:tcW w:w="2747" w:type="dxa"/>
          </w:tcPr>
          <w:p w:rsidR="001B283D" w:rsidRDefault="001B283D" w:rsidP="004D3F2C">
            <w:pPr>
              <w:ind w:left="0"/>
            </w:pPr>
            <w:r w:rsidRPr="001B283D">
              <w:t>Subsection 161A(6)</w:t>
            </w:r>
          </w:p>
          <w:p w:rsidR="001B283D" w:rsidRPr="00C95FCB" w:rsidRDefault="001B283D" w:rsidP="001B283D">
            <w:pPr>
              <w:ind w:left="0"/>
              <w:rPr>
                <w:bCs/>
                <w:sz w:val="23"/>
                <w:szCs w:val="23"/>
              </w:rPr>
            </w:pPr>
          </w:p>
          <w:p w:rsidR="001B283D" w:rsidRPr="001B283D" w:rsidRDefault="00C624FB" w:rsidP="004D3F2C">
            <w:pPr>
              <w:ind w:left="0"/>
              <w:rPr>
                <w:b/>
                <w:bCs/>
                <w:sz w:val="23"/>
                <w:szCs w:val="23"/>
              </w:rPr>
            </w:pPr>
            <w:hyperlink r:id="rId9" w:history="1">
              <w:r w:rsidR="001B283D">
                <w:rPr>
                  <w:rStyle w:val="Hyperlink"/>
                  <w:b/>
                  <w:bCs/>
                  <w:sz w:val="23"/>
                  <w:szCs w:val="23"/>
                </w:rPr>
                <w:t>s161a</w:t>
              </w:r>
            </w:hyperlink>
          </w:p>
          <w:p w:rsidR="001B283D" w:rsidRPr="001B283D" w:rsidRDefault="001B283D" w:rsidP="004D3F2C">
            <w:pPr>
              <w:ind w:left="0"/>
            </w:pPr>
          </w:p>
        </w:tc>
        <w:tc>
          <w:tcPr>
            <w:tcW w:w="2918" w:type="dxa"/>
          </w:tcPr>
          <w:p w:rsidR="001B283D" w:rsidRPr="00947540" w:rsidRDefault="00947540" w:rsidP="004D3F2C">
            <w:pPr>
              <w:ind w:left="0"/>
              <w:rPr>
                <w:u w:val="single"/>
              </w:rPr>
            </w:pPr>
            <w:r w:rsidRPr="00947540">
              <w:rPr>
                <w:bCs/>
              </w:rPr>
              <w:t>Company under external administration--former name to be used on documents</w:t>
            </w:r>
          </w:p>
        </w:tc>
        <w:tc>
          <w:tcPr>
            <w:tcW w:w="4536" w:type="dxa"/>
          </w:tcPr>
          <w:p w:rsidR="001B283D" w:rsidRDefault="00947540" w:rsidP="001B283D">
            <w:pPr>
              <w:autoSpaceDE w:val="0"/>
              <w:autoSpaceDN w:val="0"/>
              <w:adjustRightInd w:val="0"/>
              <w:ind w:left="0"/>
            </w:pPr>
            <w:r>
              <w:t>(6A) As soon as practicable after applying for leave under subsection (3), the applicant must lodge with ASIC a notice stating that the application has been made. The notice must be in the prescribed form.</w:t>
            </w:r>
          </w:p>
          <w:p w:rsidR="00947540" w:rsidRPr="001B283D" w:rsidRDefault="00947540" w:rsidP="001B283D">
            <w:pPr>
              <w:autoSpaceDE w:val="0"/>
              <w:autoSpaceDN w:val="0"/>
              <w:adjustRightInd w:val="0"/>
              <w:ind w:left="0"/>
            </w:pPr>
          </w:p>
        </w:tc>
        <w:tc>
          <w:tcPr>
            <w:tcW w:w="4678" w:type="dxa"/>
          </w:tcPr>
          <w:p w:rsidR="00D60BFF" w:rsidRPr="00137077" w:rsidRDefault="00D60BFF" w:rsidP="00D60BFF">
            <w:pPr>
              <w:ind w:left="0"/>
              <w:rPr>
                <w:b/>
                <w:color w:val="4472C4" w:themeColor="accent5"/>
                <w:u w:val="single"/>
              </w:rPr>
            </w:pPr>
            <w:r>
              <w:rPr>
                <w:b/>
                <w:color w:val="4472C4" w:themeColor="accent5"/>
                <w:u w:val="single"/>
              </w:rPr>
              <w:t xml:space="preserve">New </w:t>
            </w:r>
            <w:r w:rsidRPr="00137077">
              <w:rPr>
                <w:b/>
                <w:color w:val="4472C4" w:themeColor="accent5"/>
                <w:u w:val="single"/>
              </w:rPr>
              <w:t>ASIC F</w:t>
            </w:r>
            <w:r w:rsidR="008D2F2C">
              <w:rPr>
                <w:b/>
                <w:color w:val="4472C4" w:themeColor="accent5"/>
                <w:u w:val="single"/>
              </w:rPr>
              <w:t>orm</w:t>
            </w:r>
            <w:r>
              <w:rPr>
                <w:b/>
                <w:color w:val="4472C4" w:themeColor="accent5"/>
                <w:u w:val="single"/>
              </w:rPr>
              <w:t xml:space="preserve"> 526</w:t>
            </w:r>
          </w:p>
          <w:p w:rsidR="00D60BFF" w:rsidRDefault="00D60BFF" w:rsidP="004D3F2C">
            <w:pPr>
              <w:ind w:left="0"/>
              <w:rPr>
                <w:u w:val="single"/>
              </w:rPr>
            </w:pPr>
          </w:p>
          <w:p w:rsidR="008D2F2C" w:rsidRPr="008D2F2C" w:rsidRDefault="008D2F2C" w:rsidP="008D2F2C">
            <w:pPr>
              <w:ind w:left="0"/>
            </w:pPr>
            <w:r w:rsidRPr="008D2F2C">
              <w:t>A new ASIC Form is to be published</w:t>
            </w:r>
          </w:p>
          <w:p w:rsidR="00D60BFF" w:rsidRDefault="00D60BFF" w:rsidP="004D3F2C">
            <w:pPr>
              <w:ind w:left="0"/>
              <w:rPr>
                <w:b/>
                <w:u w:val="single"/>
              </w:rPr>
            </w:pPr>
          </w:p>
          <w:p w:rsidR="00D60BFF" w:rsidRDefault="00D60BFF" w:rsidP="004D3F2C">
            <w:pPr>
              <w:ind w:left="0"/>
              <w:rPr>
                <w:b/>
                <w:u w:val="single"/>
              </w:rPr>
            </w:pPr>
          </w:p>
        </w:tc>
      </w:tr>
      <w:tr w:rsidR="00693564" w:rsidRPr="0000174E" w:rsidTr="00BB1F3D">
        <w:trPr>
          <w:tblHeader/>
        </w:trPr>
        <w:tc>
          <w:tcPr>
            <w:tcW w:w="14879" w:type="dxa"/>
            <w:gridSpan w:val="4"/>
          </w:tcPr>
          <w:p w:rsidR="00693564" w:rsidRDefault="00693564" w:rsidP="004D3F2C">
            <w:pPr>
              <w:ind w:left="0"/>
            </w:pPr>
            <w:r w:rsidRPr="00693564">
              <w:t>Part 4—Termination of deed of company arrangement</w:t>
            </w:r>
          </w:p>
          <w:p w:rsidR="00693564" w:rsidRPr="00693564" w:rsidRDefault="00693564" w:rsidP="004D3F2C">
            <w:pPr>
              <w:ind w:left="0"/>
            </w:pPr>
          </w:p>
        </w:tc>
      </w:tr>
      <w:tr w:rsidR="00693564" w:rsidRPr="0000174E" w:rsidTr="00B910F7">
        <w:trPr>
          <w:tblHeader/>
        </w:trPr>
        <w:tc>
          <w:tcPr>
            <w:tcW w:w="2747" w:type="dxa"/>
          </w:tcPr>
          <w:p w:rsidR="00693564" w:rsidRDefault="00693564" w:rsidP="004D3F2C">
            <w:pPr>
              <w:ind w:left="0"/>
            </w:pPr>
            <w:r w:rsidRPr="00693564">
              <w:t>446AA</w:t>
            </w:r>
          </w:p>
          <w:p w:rsidR="00693564" w:rsidRDefault="00693564" w:rsidP="004D3F2C">
            <w:pPr>
              <w:ind w:left="0"/>
            </w:pPr>
          </w:p>
          <w:p w:rsidR="00693564" w:rsidRDefault="00C624FB" w:rsidP="004D3F2C">
            <w:pPr>
              <w:ind w:left="0"/>
            </w:pPr>
            <w:hyperlink r:id="rId10" w:history="1">
              <w:r w:rsidR="00693564" w:rsidRPr="00693564">
                <w:rPr>
                  <w:rStyle w:val="Hyperlink"/>
                </w:rPr>
                <w:t>s446a</w:t>
              </w:r>
            </w:hyperlink>
          </w:p>
          <w:p w:rsidR="00693564" w:rsidRPr="00693564" w:rsidRDefault="00693564" w:rsidP="004D3F2C">
            <w:pPr>
              <w:ind w:left="0"/>
            </w:pPr>
          </w:p>
        </w:tc>
        <w:tc>
          <w:tcPr>
            <w:tcW w:w="2918" w:type="dxa"/>
          </w:tcPr>
          <w:p w:rsidR="00693564" w:rsidRPr="00693564" w:rsidRDefault="00693564" w:rsidP="004D3F2C">
            <w:pPr>
              <w:ind w:left="0"/>
              <w:rPr>
                <w:u w:val="single"/>
              </w:rPr>
            </w:pPr>
            <w:r w:rsidRPr="00693564">
              <w:rPr>
                <w:bCs/>
              </w:rPr>
              <w:t>Administrator becomes liquidator in certain cases</w:t>
            </w:r>
          </w:p>
        </w:tc>
        <w:tc>
          <w:tcPr>
            <w:tcW w:w="4536" w:type="dxa"/>
          </w:tcPr>
          <w:p w:rsidR="00693564" w:rsidRDefault="00693564" w:rsidP="00693564">
            <w:pPr>
              <w:autoSpaceDE w:val="0"/>
              <w:autoSpaceDN w:val="0"/>
              <w:adjustRightInd w:val="0"/>
              <w:ind w:left="0"/>
            </w:pPr>
            <w:r>
              <w:t>Notice of resolution</w:t>
            </w:r>
          </w:p>
          <w:p w:rsidR="00693564" w:rsidRDefault="00693564" w:rsidP="00693564">
            <w:pPr>
              <w:autoSpaceDE w:val="0"/>
              <w:autoSpaceDN w:val="0"/>
              <w:adjustRightInd w:val="0"/>
              <w:ind w:left="0"/>
            </w:pPr>
            <w:r>
              <w:t>(4) The liquidator must:</w:t>
            </w:r>
          </w:p>
          <w:p w:rsidR="00693564" w:rsidRDefault="00693564" w:rsidP="00693564">
            <w:pPr>
              <w:autoSpaceDE w:val="0"/>
              <w:autoSpaceDN w:val="0"/>
              <w:adjustRightInd w:val="0"/>
              <w:ind w:left="0"/>
            </w:pPr>
            <w:r>
              <w:t>(a) within 5 business days after the day on which the company is taken to have passed the resolution, lodge with ASIC a written notice in the prescribed form:</w:t>
            </w:r>
          </w:p>
          <w:p w:rsidR="00693564" w:rsidRDefault="00693564" w:rsidP="00693564">
            <w:pPr>
              <w:autoSpaceDE w:val="0"/>
              <w:autoSpaceDN w:val="0"/>
              <w:adjustRightInd w:val="0"/>
              <w:ind w:left="0"/>
            </w:pPr>
            <w:r>
              <w:t>(</w:t>
            </w:r>
            <w:proofErr w:type="spellStart"/>
            <w:r>
              <w:t>i</w:t>
            </w:r>
            <w:proofErr w:type="spellEnd"/>
            <w:r>
              <w:t>) stating that the company is taken because of this section to have passed such a resolution; and</w:t>
            </w:r>
          </w:p>
          <w:p w:rsidR="00693564" w:rsidRDefault="00693564" w:rsidP="00693564">
            <w:pPr>
              <w:autoSpaceDE w:val="0"/>
              <w:autoSpaceDN w:val="0"/>
              <w:adjustRightInd w:val="0"/>
              <w:ind w:left="0"/>
            </w:pPr>
            <w:r>
              <w:t>(ii) specifying that day; and</w:t>
            </w:r>
          </w:p>
          <w:p w:rsidR="00693564" w:rsidRPr="001B283D" w:rsidRDefault="00693564" w:rsidP="00693564">
            <w:pPr>
              <w:autoSpaceDE w:val="0"/>
              <w:autoSpaceDN w:val="0"/>
              <w:adjustRightInd w:val="0"/>
              <w:ind w:left="0"/>
            </w:pPr>
            <w:r>
              <w:t xml:space="preserve">(b) </w:t>
            </w:r>
            <w:proofErr w:type="gramStart"/>
            <w:r>
              <w:t>cause</w:t>
            </w:r>
            <w:proofErr w:type="gramEnd"/>
            <w:r>
              <w:t xml:space="preserve"> the notice to be published, within 5 business days after that day, in the prescribed manner.</w:t>
            </w:r>
          </w:p>
        </w:tc>
        <w:tc>
          <w:tcPr>
            <w:tcW w:w="4678" w:type="dxa"/>
          </w:tcPr>
          <w:p w:rsidR="00137077" w:rsidRPr="00137077" w:rsidRDefault="00137077" w:rsidP="00137077">
            <w:pPr>
              <w:ind w:left="0"/>
              <w:rPr>
                <w:b/>
                <w:color w:val="4472C4" w:themeColor="accent5"/>
                <w:u w:val="single"/>
              </w:rPr>
            </w:pPr>
            <w:r w:rsidRPr="00137077">
              <w:rPr>
                <w:b/>
                <w:color w:val="4472C4" w:themeColor="accent5"/>
                <w:u w:val="single"/>
              </w:rPr>
              <w:t>ASIC</w:t>
            </w:r>
            <w:r w:rsidR="000B4DC9">
              <w:rPr>
                <w:b/>
                <w:color w:val="4472C4" w:themeColor="accent5"/>
                <w:u w:val="single"/>
              </w:rPr>
              <w:t xml:space="preserve"> will issue an updated </w:t>
            </w:r>
            <w:r w:rsidRPr="00137077">
              <w:rPr>
                <w:b/>
                <w:color w:val="4472C4" w:themeColor="accent5"/>
                <w:u w:val="single"/>
              </w:rPr>
              <w:t>F</w:t>
            </w:r>
            <w:r w:rsidR="000B4DC9">
              <w:rPr>
                <w:b/>
                <w:color w:val="4472C4" w:themeColor="accent5"/>
                <w:u w:val="single"/>
              </w:rPr>
              <w:t>orm 509D</w:t>
            </w:r>
          </w:p>
          <w:p w:rsidR="00D60BFF" w:rsidRDefault="00D60BFF" w:rsidP="004D3F2C">
            <w:pPr>
              <w:ind w:left="0"/>
              <w:rPr>
                <w:b/>
                <w:u w:val="single"/>
              </w:rPr>
            </w:pPr>
          </w:p>
          <w:p w:rsidR="00D60BFF" w:rsidRDefault="00D60BFF" w:rsidP="000B4DC9">
            <w:pPr>
              <w:ind w:left="0"/>
              <w:rPr>
                <w:b/>
                <w:u w:val="single"/>
              </w:rPr>
            </w:pPr>
          </w:p>
        </w:tc>
      </w:tr>
      <w:tr w:rsidR="00294760" w:rsidRPr="0000174E" w:rsidTr="001D3F39">
        <w:trPr>
          <w:tblHeader/>
        </w:trPr>
        <w:tc>
          <w:tcPr>
            <w:tcW w:w="14879" w:type="dxa"/>
            <w:gridSpan w:val="4"/>
          </w:tcPr>
          <w:p w:rsidR="00294760" w:rsidRDefault="00294760" w:rsidP="004D3F2C">
            <w:pPr>
              <w:ind w:left="0"/>
            </w:pPr>
            <w:r w:rsidRPr="00294760">
              <w:t>Part 5—Relation-back day</w:t>
            </w:r>
          </w:p>
          <w:p w:rsidR="00294760" w:rsidRDefault="00294760" w:rsidP="004D3F2C">
            <w:pPr>
              <w:ind w:left="0"/>
              <w:rPr>
                <w:b/>
                <w:u w:val="single"/>
              </w:rPr>
            </w:pPr>
          </w:p>
        </w:tc>
      </w:tr>
      <w:tr w:rsidR="00693564" w:rsidRPr="0000174E" w:rsidTr="00B910F7">
        <w:trPr>
          <w:tblHeader/>
        </w:trPr>
        <w:tc>
          <w:tcPr>
            <w:tcW w:w="2747" w:type="dxa"/>
          </w:tcPr>
          <w:p w:rsidR="00693564" w:rsidRPr="00294760" w:rsidRDefault="00294760" w:rsidP="004D3F2C">
            <w:pPr>
              <w:ind w:left="0"/>
            </w:pPr>
            <w:r w:rsidRPr="00294760">
              <w:t>Section 9 (definition of relation-back day)</w:t>
            </w:r>
          </w:p>
          <w:p w:rsidR="00294760" w:rsidRPr="001B283D" w:rsidRDefault="00294760" w:rsidP="004D3F2C">
            <w:pPr>
              <w:ind w:left="0"/>
              <w:rPr>
                <w:b/>
                <w:u w:val="single"/>
              </w:rPr>
            </w:pPr>
          </w:p>
        </w:tc>
        <w:tc>
          <w:tcPr>
            <w:tcW w:w="2918" w:type="dxa"/>
          </w:tcPr>
          <w:p w:rsidR="00693564" w:rsidRDefault="00693564" w:rsidP="004D3F2C">
            <w:pPr>
              <w:ind w:left="0"/>
              <w:rPr>
                <w:b/>
                <w:u w:val="single"/>
              </w:rPr>
            </w:pPr>
          </w:p>
        </w:tc>
        <w:tc>
          <w:tcPr>
            <w:tcW w:w="4536" w:type="dxa"/>
          </w:tcPr>
          <w:p w:rsidR="00693564" w:rsidRPr="001B283D" w:rsidRDefault="00693564" w:rsidP="001B283D">
            <w:pPr>
              <w:autoSpaceDE w:val="0"/>
              <w:autoSpaceDN w:val="0"/>
              <w:adjustRightInd w:val="0"/>
              <w:ind w:left="0"/>
            </w:pPr>
          </w:p>
        </w:tc>
        <w:tc>
          <w:tcPr>
            <w:tcW w:w="4678" w:type="dxa"/>
          </w:tcPr>
          <w:p w:rsidR="00693564" w:rsidRPr="00294760" w:rsidRDefault="00294760" w:rsidP="00294760">
            <w:pPr>
              <w:ind w:left="0"/>
            </w:pPr>
            <w:r>
              <w:t>C</w:t>
            </w:r>
            <w:r w:rsidRPr="00294760">
              <w:t>alculation of relation-back day.</w:t>
            </w:r>
          </w:p>
          <w:p w:rsidR="00294760" w:rsidRDefault="00294760" w:rsidP="00294760">
            <w:pPr>
              <w:ind w:left="0"/>
              <w:rPr>
                <w:b/>
                <w:u w:val="single"/>
              </w:rPr>
            </w:pPr>
          </w:p>
        </w:tc>
      </w:tr>
      <w:tr w:rsidR="00473A1C" w:rsidRPr="0000174E" w:rsidTr="00B910F7">
        <w:trPr>
          <w:tblHeader/>
        </w:trPr>
        <w:tc>
          <w:tcPr>
            <w:tcW w:w="14879" w:type="dxa"/>
            <w:gridSpan w:val="4"/>
          </w:tcPr>
          <w:p w:rsidR="00473A1C" w:rsidRDefault="00473A1C" w:rsidP="004D3F2C">
            <w:pPr>
              <w:ind w:left="0"/>
            </w:pPr>
            <w:r>
              <w:t>Part 6 – Miscellaneous Amendments</w:t>
            </w:r>
          </w:p>
          <w:p w:rsidR="007B1F62" w:rsidRDefault="007B1F62" w:rsidP="004D3F2C">
            <w:pPr>
              <w:ind w:left="0"/>
              <w:rPr>
                <w:b/>
                <w:u w:val="single"/>
              </w:rPr>
            </w:pPr>
          </w:p>
        </w:tc>
      </w:tr>
      <w:tr w:rsidR="00C501ED" w:rsidTr="00B910F7">
        <w:tc>
          <w:tcPr>
            <w:tcW w:w="2747" w:type="dxa"/>
          </w:tcPr>
          <w:p w:rsidR="00C501ED" w:rsidRPr="00C95FCB" w:rsidRDefault="00C501ED" w:rsidP="004D3F2C">
            <w:pPr>
              <w:ind w:left="0"/>
            </w:pPr>
            <w:r w:rsidRPr="00C95FCB">
              <w:t>Section 418</w:t>
            </w:r>
          </w:p>
        </w:tc>
        <w:tc>
          <w:tcPr>
            <w:tcW w:w="2918" w:type="dxa"/>
          </w:tcPr>
          <w:p w:rsidR="00C501ED" w:rsidRDefault="00C501ED" w:rsidP="004D3F2C">
            <w:pPr>
              <w:ind w:left="0"/>
            </w:pPr>
          </w:p>
        </w:tc>
        <w:tc>
          <w:tcPr>
            <w:tcW w:w="4536" w:type="dxa"/>
          </w:tcPr>
          <w:p w:rsidR="00C501ED" w:rsidRDefault="00900322" w:rsidP="004D3F2C">
            <w:pPr>
              <w:ind w:left="0"/>
            </w:pPr>
            <w:r>
              <w:t>Non-material software change</w:t>
            </w:r>
          </w:p>
        </w:tc>
        <w:tc>
          <w:tcPr>
            <w:tcW w:w="4678" w:type="dxa"/>
          </w:tcPr>
          <w:p w:rsidR="00C501ED" w:rsidRDefault="00C501ED" w:rsidP="004D3F2C">
            <w:pPr>
              <w:ind w:left="0"/>
            </w:pPr>
          </w:p>
        </w:tc>
      </w:tr>
      <w:tr w:rsidR="00C501ED" w:rsidTr="00B910F7">
        <w:tc>
          <w:tcPr>
            <w:tcW w:w="2747" w:type="dxa"/>
          </w:tcPr>
          <w:p w:rsidR="00C501ED" w:rsidRPr="00C95FCB" w:rsidRDefault="00C501ED" w:rsidP="004D3F2C">
            <w:pPr>
              <w:ind w:left="0"/>
            </w:pPr>
            <w:r w:rsidRPr="00C95FCB">
              <w:rPr>
                <w:bCs/>
                <w:sz w:val="23"/>
                <w:szCs w:val="23"/>
              </w:rPr>
              <w:t>Paragraph 435C(3)(h)</w:t>
            </w:r>
          </w:p>
        </w:tc>
        <w:tc>
          <w:tcPr>
            <w:tcW w:w="2918" w:type="dxa"/>
          </w:tcPr>
          <w:p w:rsidR="00C501ED" w:rsidRDefault="00C501ED" w:rsidP="004D3F2C">
            <w:pPr>
              <w:ind w:left="0"/>
            </w:pPr>
          </w:p>
        </w:tc>
        <w:tc>
          <w:tcPr>
            <w:tcW w:w="4536" w:type="dxa"/>
          </w:tcPr>
          <w:p w:rsidR="00C501ED" w:rsidRDefault="00900322" w:rsidP="00900322">
            <w:pPr>
              <w:ind w:left="0"/>
            </w:pPr>
            <w:r>
              <w:t xml:space="preserve">Non-material software </w:t>
            </w:r>
            <w:r w:rsidR="00C501ED">
              <w:t>change</w:t>
            </w:r>
          </w:p>
        </w:tc>
        <w:tc>
          <w:tcPr>
            <w:tcW w:w="4678" w:type="dxa"/>
          </w:tcPr>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After subsection 436DA(4)</w:t>
            </w:r>
          </w:p>
          <w:p w:rsidR="00CF2A5A" w:rsidRPr="00C95FCB" w:rsidRDefault="00CF2A5A" w:rsidP="004D3F2C">
            <w:pPr>
              <w:ind w:left="0"/>
              <w:rPr>
                <w:bCs/>
                <w:sz w:val="23"/>
                <w:szCs w:val="23"/>
              </w:rPr>
            </w:pPr>
          </w:p>
          <w:p w:rsidR="00CF2A5A" w:rsidRDefault="00C624FB" w:rsidP="00CF2A5A">
            <w:pPr>
              <w:ind w:left="0"/>
              <w:rPr>
                <w:b/>
                <w:bCs/>
                <w:sz w:val="23"/>
                <w:szCs w:val="23"/>
              </w:rPr>
            </w:pPr>
            <w:hyperlink r:id="rId11" w:history="1">
              <w:r w:rsidR="00CF2A5A">
                <w:rPr>
                  <w:rStyle w:val="Hyperlink"/>
                  <w:b/>
                  <w:bCs/>
                  <w:sz w:val="23"/>
                  <w:szCs w:val="23"/>
                </w:rPr>
                <w:t>s436da</w:t>
              </w:r>
            </w:hyperlink>
          </w:p>
          <w:p w:rsidR="00CF2A5A" w:rsidRDefault="00CF2A5A" w:rsidP="004D3F2C">
            <w:pPr>
              <w:ind w:left="0"/>
            </w:pPr>
          </w:p>
        </w:tc>
        <w:tc>
          <w:tcPr>
            <w:tcW w:w="2918" w:type="dxa"/>
          </w:tcPr>
          <w:p w:rsidR="00C501ED" w:rsidRPr="00270768" w:rsidRDefault="00CF2A5A" w:rsidP="004D3F2C">
            <w:pPr>
              <w:ind w:left="0"/>
            </w:pPr>
            <w:r w:rsidRPr="00270768">
              <w:rPr>
                <w:bCs/>
              </w:rPr>
              <w:t>Declarations by administrator--indemnities and relevant relationships</w:t>
            </w:r>
          </w:p>
        </w:tc>
        <w:tc>
          <w:tcPr>
            <w:tcW w:w="4536" w:type="dxa"/>
          </w:tcPr>
          <w:p w:rsidR="00C501ED" w:rsidRDefault="00C501ED" w:rsidP="004D3F2C">
            <w:pPr>
              <w:ind w:left="0"/>
            </w:pPr>
            <w:r>
              <w:t>Insert:</w:t>
            </w:r>
          </w:p>
          <w:p w:rsidR="00C501ED" w:rsidRDefault="00C501ED" w:rsidP="004D3F2C">
            <w:pPr>
              <w:ind w:left="0"/>
            </w:pPr>
            <w:r>
              <w:t>(4A) As soon as practicable after making a declaration under subsection (2), the administrator must lodge a copy of the declaration with ASIC.</w:t>
            </w:r>
          </w:p>
          <w:p w:rsidR="00C501ED" w:rsidRDefault="00C501ED" w:rsidP="004D3F2C">
            <w:pPr>
              <w:ind w:left="0"/>
            </w:pPr>
            <w:r>
              <w:t>Note: Failure to comply with this subsection is an offence (see subsection 1311(1)).</w:t>
            </w:r>
          </w:p>
        </w:tc>
        <w:tc>
          <w:tcPr>
            <w:tcW w:w="4678" w:type="dxa"/>
          </w:tcPr>
          <w:p w:rsidR="000B4DC9" w:rsidRDefault="000B4DC9" w:rsidP="000B4DC9">
            <w:pPr>
              <w:ind w:left="0"/>
            </w:pPr>
            <w:r>
              <w:t>There is now a r</w:t>
            </w:r>
            <w:r>
              <w:t xml:space="preserve">equirement to lodge </w:t>
            </w:r>
            <w:r>
              <w:t xml:space="preserve">the </w:t>
            </w:r>
            <w:r>
              <w:t>Declaration of Independence, Relevant Relationships and Indemnities (“DIRRI”) with ASIC.</w:t>
            </w:r>
          </w:p>
          <w:p w:rsidR="000B4DC9" w:rsidRDefault="000B4DC9" w:rsidP="000B4DC9">
            <w:pPr>
              <w:ind w:left="0"/>
            </w:pPr>
          </w:p>
          <w:p w:rsidR="000B4DC9" w:rsidRDefault="000B4DC9" w:rsidP="000B4DC9">
            <w:pPr>
              <w:ind w:left="0"/>
            </w:pPr>
            <w:r>
              <w:t xml:space="preserve">The DIRRI document </w:t>
            </w:r>
            <w:r>
              <w:t xml:space="preserve">is </w:t>
            </w:r>
            <w:r>
              <w:t>prepared in accordance with the prescribed format (issued by ARITA).</w:t>
            </w:r>
          </w:p>
          <w:p w:rsidR="000B4DC9" w:rsidRDefault="000B4DC9" w:rsidP="001143B0">
            <w:pPr>
              <w:ind w:left="0"/>
              <w:rPr>
                <w:b/>
              </w:rPr>
            </w:pPr>
          </w:p>
          <w:p w:rsidR="000B4DC9" w:rsidRDefault="000B4DC9" w:rsidP="001143B0">
            <w:pPr>
              <w:ind w:left="0"/>
            </w:pPr>
            <w:r>
              <w:t>The DIRRI document will be uploaded to ASIC via the liquidators’ portal.</w:t>
            </w:r>
          </w:p>
          <w:p w:rsidR="000B4DC9" w:rsidRDefault="000B4DC9" w:rsidP="001143B0">
            <w:pPr>
              <w:ind w:left="0"/>
            </w:pPr>
          </w:p>
          <w:p w:rsidR="000B4DC9" w:rsidRDefault="000B4DC9" w:rsidP="001143B0">
            <w:pPr>
              <w:ind w:left="0"/>
            </w:pPr>
            <w:r>
              <w:t>There will be an ASIC online web page for this process to confirm declarations made.</w:t>
            </w:r>
          </w:p>
          <w:p w:rsidR="00C501ED" w:rsidRDefault="00C501ED" w:rsidP="000B4DC9">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After subsection 436DA(6)</w:t>
            </w:r>
          </w:p>
          <w:p w:rsidR="00CF2A5A" w:rsidRPr="00C95FCB" w:rsidRDefault="00CF2A5A" w:rsidP="00CF2A5A">
            <w:pPr>
              <w:ind w:left="0"/>
              <w:rPr>
                <w:bCs/>
                <w:sz w:val="23"/>
                <w:szCs w:val="23"/>
              </w:rPr>
            </w:pPr>
          </w:p>
          <w:p w:rsidR="00CF2A5A" w:rsidRDefault="00C624FB" w:rsidP="00CF2A5A">
            <w:pPr>
              <w:ind w:left="0"/>
              <w:rPr>
                <w:b/>
                <w:bCs/>
                <w:sz w:val="23"/>
                <w:szCs w:val="23"/>
              </w:rPr>
            </w:pPr>
            <w:hyperlink r:id="rId12" w:history="1">
              <w:r w:rsidR="00CF2A5A">
                <w:rPr>
                  <w:rStyle w:val="Hyperlink"/>
                  <w:b/>
                  <w:bCs/>
                  <w:sz w:val="23"/>
                  <w:szCs w:val="23"/>
                </w:rPr>
                <w:t>s436da</w:t>
              </w:r>
            </w:hyperlink>
          </w:p>
          <w:p w:rsidR="00CF2A5A" w:rsidRDefault="00CF2A5A" w:rsidP="004D3F2C">
            <w:pPr>
              <w:ind w:left="0"/>
            </w:pPr>
          </w:p>
        </w:tc>
        <w:tc>
          <w:tcPr>
            <w:tcW w:w="2918" w:type="dxa"/>
          </w:tcPr>
          <w:p w:rsidR="00C501ED" w:rsidRPr="00270768" w:rsidRDefault="00CF2A5A" w:rsidP="004D3F2C">
            <w:pPr>
              <w:ind w:left="0"/>
            </w:pPr>
            <w:r w:rsidRPr="00270768">
              <w:rPr>
                <w:bCs/>
              </w:rPr>
              <w:t>Declarations by administrator--indemnities and relevant relationships</w:t>
            </w:r>
          </w:p>
        </w:tc>
        <w:tc>
          <w:tcPr>
            <w:tcW w:w="4536" w:type="dxa"/>
          </w:tcPr>
          <w:p w:rsidR="00C501ED" w:rsidRDefault="00C501ED" w:rsidP="004D3F2C">
            <w:pPr>
              <w:ind w:left="0"/>
            </w:pPr>
            <w:r w:rsidRPr="004D3F2C">
              <w:t>Insert:</w:t>
            </w:r>
          </w:p>
          <w:p w:rsidR="00C501ED" w:rsidRDefault="00C501ED" w:rsidP="004D3F2C">
            <w:pPr>
              <w:pStyle w:val="Default"/>
              <w:rPr>
                <w:sz w:val="22"/>
                <w:szCs w:val="22"/>
              </w:rPr>
            </w:pPr>
            <w:r>
              <w:rPr>
                <w:sz w:val="22"/>
                <w:szCs w:val="22"/>
              </w:rPr>
              <w:t xml:space="preserve">(6A) As soon as practicable after making a replacement declaration under subsection (5), the administrator must lodge a copy of the replacement declaration with ASIC. </w:t>
            </w:r>
          </w:p>
          <w:p w:rsidR="00C501ED" w:rsidRDefault="00C501ED" w:rsidP="004D3F2C">
            <w:pPr>
              <w:ind w:left="0"/>
            </w:pPr>
            <w:r>
              <w:rPr>
                <w:sz w:val="18"/>
                <w:szCs w:val="18"/>
              </w:rPr>
              <w:t>Note: Failure to comply with this subsection is an offence (see subsection 1311(1)).</w:t>
            </w:r>
          </w:p>
        </w:tc>
        <w:tc>
          <w:tcPr>
            <w:tcW w:w="4678" w:type="dxa"/>
          </w:tcPr>
          <w:p w:rsidR="00F6226C" w:rsidRDefault="00F6226C" w:rsidP="00F6226C">
            <w:pPr>
              <w:ind w:left="0"/>
            </w:pPr>
            <w:r>
              <w:t>Same as above. Lodgement of DIRRI.</w:t>
            </w:r>
          </w:p>
          <w:p w:rsidR="00137077" w:rsidRDefault="00137077"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Subsection 442C(4)</w:t>
            </w:r>
          </w:p>
        </w:tc>
        <w:tc>
          <w:tcPr>
            <w:tcW w:w="2918" w:type="dxa"/>
          </w:tcPr>
          <w:p w:rsidR="00C501ED" w:rsidRPr="00270768" w:rsidRDefault="005E6388" w:rsidP="004D3F2C">
            <w:pPr>
              <w:ind w:left="0"/>
            </w:pPr>
            <w:r w:rsidRPr="00270768">
              <w:rPr>
                <w:bCs/>
              </w:rPr>
              <w:t>When administrator may dispose of encumbered property</w:t>
            </w:r>
          </w:p>
        </w:tc>
        <w:tc>
          <w:tcPr>
            <w:tcW w:w="4536" w:type="dxa"/>
          </w:tcPr>
          <w:p w:rsidR="00C501ED" w:rsidRPr="004D3F2C" w:rsidRDefault="00900322" w:rsidP="004D3F2C">
            <w:pPr>
              <w:ind w:left="0"/>
            </w:pPr>
            <w:r>
              <w:t>Non-material software change</w:t>
            </w:r>
          </w:p>
        </w:tc>
        <w:tc>
          <w:tcPr>
            <w:tcW w:w="4678" w:type="dxa"/>
          </w:tcPr>
          <w:p w:rsidR="00C501ED" w:rsidRDefault="00C501ED" w:rsidP="004D3F2C">
            <w:pPr>
              <w:ind w:left="0"/>
            </w:pPr>
          </w:p>
        </w:tc>
      </w:tr>
      <w:tr w:rsidR="00C501ED" w:rsidTr="00B910F7">
        <w:tc>
          <w:tcPr>
            <w:tcW w:w="2747" w:type="dxa"/>
          </w:tcPr>
          <w:p w:rsidR="00C501ED" w:rsidRPr="00C95FCB" w:rsidRDefault="00C501ED" w:rsidP="004D3F2C">
            <w:pPr>
              <w:ind w:left="0"/>
            </w:pPr>
            <w:r w:rsidRPr="00C95FCB">
              <w:t>After subsection 449CA(4)</w:t>
            </w:r>
          </w:p>
          <w:p w:rsidR="00CF2A5A" w:rsidRPr="00C95FCB" w:rsidRDefault="00CF2A5A" w:rsidP="004D3F2C">
            <w:pPr>
              <w:ind w:left="0"/>
            </w:pPr>
          </w:p>
          <w:p w:rsidR="00CF2A5A" w:rsidRDefault="00C624FB" w:rsidP="00CF2A5A">
            <w:pPr>
              <w:ind w:left="0"/>
              <w:rPr>
                <w:b/>
                <w:bCs/>
                <w:sz w:val="23"/>
                <w:szCs w:val="23"/>
              </w:rPr>
            </w:pPr>
            <w:hyperlink r:id="rId13" w:history="1">
              <w:r w:rsidR="00CF2A5A" w:rsidRPr="00B06EB8">
                <w:rPr>
                  <w:rStyle w:val="Hyperlink"/>
                  <w:b/>
                  <w:bCs/>
                  <w:sz w:val="23"/>
                  <w:szCs w:val="23"/>
                </w:rPr>
                <w:t>s4</w:t>
              </w:r>
              <w:r w:rsidR="00CF2A5A">
                <w:rPr>
                  <w:rStyle w:val="Hyperlink"/>
                  <w:b/>
                  <w:bCs/>
                  <w:sz w:val="23"/>
                  <w:szCs w:val="23"/>
                </w:rPr>
                <w:t>49ca</w:t>
              </w:r>
            </w:hyperlink>
          </w:p>
          <w:p w:rsidR="00CF2A5A" w:rsidRPr="00C501ED" w:rsidRDefault="00CF2A5A" w:rsidP="00CF2A5A">
            <w:pPr>
              <w:ind w:left="0"/>
              <w:rPr>
                <w:b/>
              </w:rPr>
            </w:pPr>
          </w:p>
        </w:tc>
        <w:tc>
          <w:tcPr>
            <w:tcW w:w="2918" w:type="dxa"/>
          </w:tcPr>
          <w:p w:rsidR="00C501ED" w:rsidRPr="00270768" w:rsidRDefault="00CF2A5A"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Declarations by administrator--indemnities and relevant relationships</w:t>
            </w:r>
          </w:p>
        </w:tc>
        <w:tc>
          <w:tcPr>
            <w:tcW w:w="4536" w:type="dxa"/>
          </w:tcPr>
          <w:p w:rsidR="00C501ED" w:rsidRDefault="00C501ED" w:rsidP="004D3F2C">
            <w:pPr>
              <w:pStyle w:val="Default"/>
              <w:rPr>
                <w:sz w:val="22"/>
                <w:szCs w:val="22"/>
              </w:rPr>
            </w:pPr>
            <w:r>
              <w:rPr>
                <w:sz w:val="22"/>
                <w:szCs w:val="22"/>
              </w:rPr>
              <w:t xml:space="preserve">Insert: </w:t>
            </w:r>
          </w:p>
          <w:p w:rsidR="00C501ED" w:rsidRDefault="00C501ED" w:rsidP="004D3F2C">
            <w:pPr>
              <w:pStyle w:val="Default"/>
              <w:rPr>
                <w:sz w:val="22"/>
                <w:szCs w:val="22"/>
              </w:rPr>
            </w:pPr>
            <w:r>
              <w:rPr>
                <w:sz w:val="22"/>
                <w:szCs w:val="22"/>
              </w:rPr>
              <w:t xml:space="preserve">(4A) As soon as practicable after making a declaration under subsection (2), the administrator must lodge a copy of the declaration with ASIC. </w:t>
            </w:r>
          </w:p>
          <w:p w:rsidR="00C501ED" w:rsidRDefault="00C501ED" w:rsidP="004D3F2C">
            <w:pPr>
              <w:ind w:left="0"/>
            </w:pPr>
            <w:r>
              <w:rPr>
                <w:sz w:val="18"/>
                <w:szCs w:val="18"/>
              </w:rPr>
              <w:t>Note: Failure to comply with this subsection is an offence (see subsection 1311(1)).</w:t>
            </w:r>
          </w:p>
        </w:tc>
        <w:tc>
          <w:tcPr>
            <w:tcW w:w="4678" w:type="dxa"/>
          </w:tcPr>
          <w:p w:rsidR="00F6226C" w:rsidRDefault="00F6226C" w:rsidP="00F6226C">
            <w:pPr>
              <w:ind w:left="0"/>
            </w:pPr>
            <w:r>
              <w:t>Same as above. Lodgement of DIRRI.</w:t>
            </w:r>
          </w:p>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After subsection 449CA(6)</w:t>
            </w:r>
          </w:p>
          <w:p w:rsidR="00CF2A5A" w:rsidRPr="00C95FCB" w:rsidRDefault="00CF2A5A" w:rsidP="00CF2A5A">
            <w:pPr>
              <w:ind w:left="0"/>
            </w:pPr>
          </w:p>
          <w:p w:rsidR="00CF2A5A" w:rsidRDefault="00C624FB" w:rsidP="00CF2A5A">
            <w:pPr>
              <w:ind w:left="0"/>
              <w:rPr>
                <w:b/>
                <w:bCs/>
                <w:sz w:val="23"/>
                <w:szCs w:val="23"/>
              </w:rPr>
            </w:pPr>
            <w:hyperlink r:id="rId14" w:history="1">
              <w:r w:rsidR="00CF2A5A" w:rsidRPr="00B06EB8">
                <w:rPr>
                  <w:rStyle w:val="Hyperlink"/>
                  <w:b/>
                  <w:bCs/>
                  <w:sz w:val="23"/>
                  <w:szCs w:val="23"/>
                </w:rPr>
                <w:t>s4</w:t>
              </w:r>
              <w:r w:rsidR="00CF2A5A">
                <w:rPr>
                  <w:rStyle w:val="Hyperlink"/>
                  <w:b/>
                  <w:bCs/>
                  <w:sz w:val="23"/>
                  <w:szCs w:val="23"/>
                </w:rPr>
                <w:t>49ca</w:t>
              </w:r>
            </w:hyperlink>
          </w:p>
          <w:p w:rsidR="002B7650" w:rsidRDefault="002B7650" w:rsidP="004D3F2C">
            <w:pPr>
              <w:ind w:left="0"/>
              <w:rPr>
                <w:b/>
                <w:bCs/>
                <w:sz w:val="23"/>
                <w:szCs w:val="23"/>
              </w:rPr>
            </w:pPr>
          </w:p>
          <w:p w:rsidR="002B7650" w:rsidRDefault="002B7650" w:rsidP="004D3F2C">
            <w:pPr>
              <w:ind w:left="0"/>
            </w:pPr>
          </w:p>
        </w:tc>
        <w:tc>
          <w:tcPr>
            <w:tcW w:w="2918" w:type="dxa"/>
          </w:tcPr>
          <w:p w:rsidR="00C501ED" w:rsidRPr="00270768" w:rsidRDefault="00CF2A5A"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Declarations by administrator--indemnities and relevant relationships</w:t>
            </w:r>
          </w:p>
        </w:tc>
        <w:tc>
          <w:tcPr>
            <w:tcW w:w="4536" w:type="dxa"/>
          </w:tcPr>
          <w:p w:rsidR="00C501ED" w:rsidRDefault="00C501ED" w:rsidP="004D3F2C">
            <w:pPr>
              <w:pStyle w:val="Default"/>
              <w:rPr>
                <w:sz w:val="22"/>
                <w:szCs w:val="22"/>
              </w:rPr>
            </w:pPr>
            <w:r>
              <w:rPr>
                <w:sz w:val="22"/>
                <w:szCs w:val="22"/>
              </w:rPr>
              <w:t xml:space="preserve">Insert: </w:t>
            </w:r>
          </w:p>
          <w:p w:rsidR="00C501ED" w:rsidRDefault="00C501ED" w:rsidP="004D3F2C">
            <w:pPr>
              <w:pStyle w:val="Default"/>
              <w:rPr>
                <w:sz w:val="22"/>
                <w:szCs w:val="22"/>
              </w:rPr>
            </w:pPr>
            <w:r>
              <w:rPr>
                <w:sz w:val="22"/>
                <w:szCs w:val="22"/>
              </w:rPr>
              <w:t xml:space="preserve">(6A) As soon as practicable after making a replacement declaration under subsection (5), the administrator must lodge a copy of the replacement declaration with ASIC. </w:t>
            </w:r>
          </w:p>
          <w:p w:rsidR="00C501ED" w:rsidRDefault="00C501ED" w:rsidP="004D3F2C">
            <w:pPr>
              <w:ind w:left="0"/>
            </w:pPr>
            <w:r>
              <w:rPr>
                <w:sz w:val="18"/>
                <w:szCs w:val="18"/>
              </w:rPr>
              <w:t>Note: Failure to comply with this subsection is an offence (see subsection 1311(1)).</w:t>
            </w:r>
          </w:p>
        </w:tc>
        <w:tc>
          <w:tcPr>
            <w:tcW w:w="4678" w:type="dxa"/>
          </w:tcPr>
          <w:p w:rsidR="00F6226C" w:rsidRDefault="00F6226C" w:rsidP="00F6226C">
            <w:pPr>
              <w:ind w:left="0"/>
            </w:pPr>
            <w:r>
              <w:t>Same as above. Lodgement of DIRRI.</w:t>
            </w:r>
          </w:p>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Paragraph 477(1)(a)</w:t>
            </w:r>
          </w:p>
        </w:tc>
        <w:tc>
          <w:tcPr>
            <w:tcW w:w="2918" w:type="dxa"/>
          </w:tcPr>
          <w:p w:rsidR="00C501ED" w:rsidRPr="00270768" w:rsidRDefault="00322267"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Powers of liquidator</w:t>
            </w:r>
          </w:p>
        </w:tc>
        <w:tc>
          <w:tcPr>
            <w:tcW w:w="4536" w:type="dxa"/>
          </w:tcPr>
          <w:p w:rsidR="00C501ED" w:rsidRDefault="00900322" w:rsidP="004D3F2C">
            <w:pPr>
              <w:pStyle w:val="Default"/>
              <w:rPr>
                <w:rFonts w:asciiTheme="minorHAnsi" w:hAnsiTheme="minorHAnsi" w:cstheme="minorBidi"/>
                <w:color w:val="auto"/>
                <w:sz w:val="22"/>
                <w:szCs w:val="22"/>
              </w:rPr>
            </w:pPr>
            <w:r>
              <w:rPr>
                <w:rFonts w:asciiTheme="minorHAnsi" w:hAnsiTheme="minorHAnsi" w:cstheme="minorBidi"/>
                <w:color w:val="auto"/>
                <w:sz w:val="22"/>
                <w:szCs w:val="22"/>
              </w:rPr>
              <w:t>Non-material software change</w:t>
            </w:r>
          </w:p>
          <w:p w:rsidR="00B06EB8" w:rsidRPr="00145DB9" w:rsidRDefault="00B06EB8" w:rsidP="004D3F2C">
            <w:pPr>
              <w:pStyle w:val="Default"/>
              <w:rPr>
                <w:rFonts w:asciiTheme="minorHAnsi" w:hAnsiTheme="minorHAnsi" w:cstheme="minorBidi"/>
                <w:color w:val="auto"/>
                <w:sz w:val="22"/>
                <w:szCs w:val="22"/>
              </w:rPr>
            </w:pPr>
          </w:p>
        </w:tc>
        <w:tc>
          <w:tcPr>
            <w:tcW w:w="4678" w:type="dxa"/>
          </w:tcPr>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Paragraph 491(2)(a)</w:t>
            </w:r>
          </w:p>
          <w:p w:rsidR="00B06EB8" w:rsidRPr="00C95FCB" w:rsidRDefault="00B06EB8" w:rsidP="004D3F2C">
            <w:pPr>
              <w:ind w:left="0"/>
              <w:rPr>
                <w:bCs/>
                <w:sz w:val="23"/>
                <w:szCs w:val="23"/>
              </w:rPr>
            </w:pPr>
          </w:p>
          <w:p w:rsidR="00B06EB8" w:rsidRDefault="00C624FB" w:rsidP="004D3F2C">
            <w:pPr>
              <w:ind w:left="0"/>
              <w:rPr>
                <w:b/>
                <w:bCs/>
                <w:sz w:val="23"/>
                <w:szCs w:val="23"/>
              </w:rPr>
            </w:pPr>
            <w:hyperlink r:id="rId15" w:history="1">
              <w:r w:rsidR="00B06EB8" w:rsidRPr="00B06EB8">
                <w:rPr>
                  <w:rStyle w:val="Hyperlink"/>
                  <w:b/>
                  <w:bCs/>
                  <w:sz w:val="23"/>
                  <w:szCs w:val="23"/>
                </w:rPr>
                <w:t>s491</w:t>
              </w:r>
            </w:hyperlink>
          </w:p>
        </w:tc>
        <w:tc>
          <w:tcPr>
            <w:tcW w:w="2918" w:type="dxa"/>
          </w:tcPr>
          <w:p w:rsidR="00C501ED" w:rsidRPr="00270768" w:rsidRDefault="002B7650"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Circumstances in which company may be wound up voluntarily</w:t>
            </w:r>
          </w:p>
          <w:p w:rsidR="002B7650" w:rsidRPr="00270768" w:rsidRDefault="002B7650" w:rsidP="004D3F2C">
            <w:pPr>
              <w:pStyle w:val="Default"/>
              <w:rPr>
                <w:rFonts w:asciiTheme="minorHAnsi" w:hAnsiTheme="minorHAnsi" w:cstheme="minorBidi"/>
                <w:bCs/>
                <w:color w:val="auto"/>
                <w:sz w:val="22"/>
                <w:szCs w:val="22"/>
              </w:rPr>
            </w:pPr>
          </w:p>
        </w:tc>
        <w:tc>
          <w:tcPr>
            <w:tcW w:w="4536" w:type="dxa"/>
          </w:tcPr>
          <w:p w:rsidR="00C501ED" w:rsidRPr="00145DB9" w:rsidRDefault="00B06EB8" w:rsidP="004D3F2C">
            <w:pPr>
              <w:pStyle w:val="Default"/>
              <w:rPr>
                <w:rFonts w:asciiTheme="minorHAnsi" w:hAnsiTheme="minorHAnsi" w:cstheme="minorBidi"/>
                <w:color w:val="auto"/>
                <w:sz w:val="22"/>
                <w:szCs w:val="22"/>
              </w:rPr>
            </w:pPr>
            <w:r>
              <w:rPr>
                <w:sz w:val="22"/>
                <w:szCs w:val="22"/>
              </w:rPr>
              <w:t>“lodge with ASIC, in the prescribed form, a notice setting out the text of the resolution”</w:t>
            </w:r>
          </w:p>
        </w:tc>
        <w:tc>
          <w:tcPr>
            <w:tcW w:w="4678" w:type="dxa"/>
          </w:tcPr>
          <w:p w:rsidR="00B06EB8" w:rsidRDefault="000B4DC9" w:rsidP="00B06EB8">
            <w:pPr>
              <w:ind w:left="0"/>
            </w:pPr>
            <w:r>
              <w:t xml:space="preserve">This lodged on the existing </w:t>
            </w:r>
            <w:r w:rsidR="00B06EB8">
              <w:t xml:space="preserve">prescribed form </w:t>
            </w:r>
          </w:p>
          <w:p w:rsidR="00137077" w:rsidRPr="000B4DC9" w:rsidRDefault="00137077" w:rsidP="00137077">
            <w:pPr>
              <w:ind w:left="0"/>
              <w:rPr>
                <w:b/>
                <w:color w:val="4472C4" w:themeColor="accent5"/>
                <w:u w:val="single"/>
              </w:rPr>
            </w:pPr>
          </w:p>
          <w:p w:rsidR="00137077" w:rsidRPr="00137077" w:rsidRDefault="00137077" w:rsidP="00137077">
            <w:pPr>
              <w:ind w:left="0"/>
              <w:rPr>
                <w:b/>
                <w:color w:val="4472C4" w:themeColor="accent5"/>
                <w:u w:val="single"/>
              </w:rPr>
            </w:pPr>
            <w:r w:rsidRPr="00137077">
              <w:rPr>
                <w:b/>
                <w:color w:val="4472C4" w:themeColor="accent5"/>
                <w:u w:val="single"/>
              </w:rPr>
              <w:t>ASIC F</w:t>
            </w:r>
            <w:r w:rsidR="000B4DC9">
              <w:rPr>
                <w:b/>
                <w:color w:val="4472C4" w:themeColor="accent5"/>
                <w:u w:val="single"/>
              </w:rPr>
              <w:t xml:space="preserve">orm </w:t>
            </w:r>
            <w:r w:rsidR="0037046F">
              <w:rPr>
                <w:b/>
                <w:color w:val="4472C4" w:themeColor="accent5"/>
                <w:u w:val="single"/>
              </w:rPr>
              <w:t xml:space="preserve">205 </w:t>
            </w:r>
            <w:r w:rsidR="000B4DC9">
              <w:rPr>
                <w:b/>
                <w:color w:val="4472C4" w:themeColor="accent5"/>
                <w:u w:val="single"/>
              </w:rPr>
              <w:t xml:space="preserve">- </w:t>
            </w:r>
            <w:r w:rsidR="000B4DC9" w:rsidRPr="000B4DC9">
              <w:rPr>
                <w:b/>
                <w:color w:val="4472C4" w:themeColor="accent5"/>
                <w:u w:val="single"/>
              </w:rPr>
              <w:t>Notification of resolution</w:t>
            </w:r>
          </w:p>
          <w:p w:rsidR="00137077" w:rsidRDefault="00137077" w:rsidP="00137077">
            <w:pPr>
              <w:ind w:left="0"/>
            </w:pPr>
          </w:p>
          <w:p w:rsidR="00B06EB8" w:rsidRDefault="00B06EB8" w:rsidP="00B06EB8">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After subsection 506A(2)</w:t>
            </w:r>
          </w:p>
          <w:p w:rsidR="00C501ED" w:rsidRPr="00C95FCB" w:rsidRDefault="00C501ED" w:rsidP="004D3F2C">
            <w:pPr>
              <w:ind w:left="0"/>
              <w:rPr>
                <w:bCs/>
                <w:sz w:val="23"/>
                <w:szCs w:val="23"/>
              </w:rPr>
            </w:pPr>
          </w:p>
          <w:p w:rsidR="00C501ED" w:rsidRDefault="00C624FB" w:rsidP="004D3F2C">
            <w:pPr>
              <w:ind w:left="0"/>
              <w:rPr>
                <w:b/>
                <w:bCs/>
                <w:sz w:val="23"/>
                <w:szCs w:val="23"/>
              </w:rPr>
            </w:pPr>
            <w:hyperlink r:id="rId16" w:history="1">
              <w:r w:rsidR="00C501ED" w:rsidRPr="00927B4F">
                <w:rPr>
                  <w:rStyle w:val="Hyperlink"/>
                  <w:b/>
                  <w:bCs/>
                  <w:sz w:val="23"/>
                  <w:szCs w:val="23"/>
                </w:rPr>
                <w:t>s506a</w:t>
              </w:r>
            </w:hyperlink>
          </w:p>
          <w:p w:rsidR="00C501ED" w:rsidRDefault="00C501ED" w:rsidP="004D3F2C">
            <w:pPr>
              <w:ind w:left="0"/>
              <w:rPr>
                <w:b/>
                <w:bCs/>
                <w:sz w:val="23"/>
                <w:szCs w:val="23"/>
              </w:rPr>
            </w:pPr>
          </w:p>
        </w:tc>
        <w:tc>
          <w:tcPr>
            <w:tcW w:w="2918" w:type="dxa"/>
          </w:tcPr>
          <w:p w:rsidR="00C501ED" w:rsidRPr="00270768" w:rsidRDefault="00C501ED"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Declarations by liquidator--relevant relationships</w:t>
            </w:r>
          </w:p>
        </w:tc>
        <w:tc>
          <w:tcPr>
            <w:tcW w:w="4536" w:type="dxa"/>
          </w:tcPr>
          <w:p w:rsidR="00C501ED" w:rsidRDefault="00C501ED" w:rsidP="004D3F2C">
            <w:pPr>
              <w:pStyle w:val="Default"/>
              <w:rPr>
                <w:sz w:val="22"/>
                <w:szCs w:val="22"/>
              </w:rPr>
            </w:pPr>
            <w:r>
              <w:rPr>
                <w:sz w:val="22"/>
                <w:szCs w:val="22"/>
              </w:rPr>
              <w:t>Insert:</w:t>
            </w:r>
          </w:p>
          <w:p w:rsidR="00C501ED" w:rsidRDefault="00C501ED" w:rsidP="004D3F2C">
            <w:pPr>
              <w:pStyle w:val="Default"/>
              <w:rPr>
                <w:sz w:val="22"/>
                <w:szCs w:val="22"/>
              </w:rPr>
            </w:pPr>
            <w:r>
              <w:rPr>
                <w:sz w:val="22"/>
                <w:szCs w:val="22"/>
              </w:rPr>
              <w:t xml:space="preserve">(3) As soon as practicable after making a declaration under subsection (2), the administrator must lodge a copy of the declaration with ASIC. </w:t>
            </w:r>
          </w:p>
          <w:p w:rsidR="00C501ED" w:rsidRDefault="00C501ED" w:rsidP="004D3F2C">
            <w:pPr>
              <w:pStyle w:val="Default"/>
              <w:rPr>
                <w:sz w:val="22"/>
                <w:szCs w:val="22"/>
              </w:rPr>
            </w:pPr>
            <w:r>
              <w:rPr>
                <w:sz w:val="18"/>
                <w:szCs w:val="18"/>
              </w:rPr>
              <w:t>Note: Failure to comply with this subsection is an offence (see subsection 1311(1)).</w:t>
            </w:r>
          </w:p>
        </w:tc>
        <w:tc>
          <w:tcPr>
            <w:tcW w:w="4678" w:type="dxa"/>
          </w:tcPr>
          <w:p w:rsidR="00137077" w:rsidRDefault="00F6226C" w:rsidP="00137077">
            <w:pPr>
              <w:ind w:left="0"/>
            </w:pPr>
            <w:r>
              <w:t>Same as above.</w:t>
            </w:r>
            <w:r>
              <w:t xml:space="preserve"> </w:t>
            </w:r>
            <w:r w:rsidR="00137077">
              <w:t>Lodgement of DIRRI.</w:t>
            </w:r>
          </w:p>
          <w:p w:rsidR="00C501ED" w:rsidRDefault="00C501ED" w:rsidP="00F6226C">
            <w:pPr>
              <w:ind w:left="0"/>
            </w:pPr>
          </w:p>
          <w:p w:rsidR="00F6226C" w:rsidRDefault="00F6226C" w:rsidP="00F6226C">
            <w:pPr>
              <w:ind w:left="0"/>
            </w:pPr>
            <w:r>
              <w:t>The lodgement of the DIRRI in regard to a CVL will not be required until 1 September 2017.</w:t>
            </w:r>
          </w:p>
          <w:p w:rsidR="00F6226C" w:rsidRDefault="00F6226C" w:rsidP="00F6226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After subsection 506A(5)</w:t>
            </w:r>
          </w:p>
          <w:p w:rsidR="00C501ED" w:rsidRPr="00C95FCB" w:rsidRDefault="00C501ED" w:rsidP="004D3F2C">
            <w:pPr>
              <w:ind w:left="0"/>
              <w:rPr>
                <w:bCs/>
                <w:sz w:val="23"/>
                <w:szCs w:val="23"/>
              </w:rPr>
            </w:pPr>
          </w:p>
          <w:p w:rsidR="00C501ED" w:rsidRDefault="00C624FB" w:rsidP="00927B4F">
            <w:pPr>
              <w:ind w:left="0"/>
              <w:rPr>
                <w:b/>
                <w:bCs/>
                <w:sz w:val="23"/>
                <w:szCs w:val="23"/>
              </w:rPr>
            </w:pPr>
            <w:hyperlink r:id="rId17" w:history="1">
              <w:r w:rsidR="00C501ED" w:rsidRPr="00927B4F">
                <w:rPr>
                  <w:rStyle w:val="Hyperlink"/>
                  <w:b/>
                  <w:bCs/>
                  <w:sz w:val="23"/>
                  <w:szCs w:val="23"/>
                </w:rPr>
                <w:t>s506a</w:t>
              </w:r>
            </w:hyperlink>
          </w:p>
          <w:p w:rsidR="00C501ED" w:rsidRDefault="00C501ED" w:rsidP="004D3F2C">
            <w:pPr>
              <w:ind w:left="0"/>
              <w:rPr>
                <w:b/>
                <w:bCs/>
                <w:sz w:val="23"/>
                <w:szCs w:val="23"/>
              </w:rPr>
            </w:pPr>
          </w:p>
        </w:tc>
        <w:tc>
          <w:tcPr>
            <w:tcW w:w="2918" w:type="dxa"/>
          </w:tcPr>
          <w:p w:rsidR="00C501ED" w:rsidRPr="00270768" w:rsidRDefault="00C501ED"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Declarations by liquidator--relevant relationships</w:t>
            </w:r>
          </w:p>
        </w:tc>
        <w:tc>
          <w:tcPr>
            <w:tcW w:w="4536" w:type="dxa"/>
          </w:tcPr>
          <w:p w:rsidR="00C501ED" w:rsidRPr="004D3F2C" w:rsidRDefault="00C501ED" w:rsidP="004D3F2C">
            <w:pPr>
              <w:pStyle w:val="Default"/>
              <w:rPr>
                <w:sz w:val="22"/>
                <w:szCs w:val="22"/>
              </w:rPr>
            </w:pPr>
            <w:r w:rsidRPr="004D3F2C">
              <w:rPr>
                <w:sz w:val="22"/>
                <w:szCs w:val="22"/>
              </w:rPr>
              <w:t>Insert:</w:t>
            </w:r>
          </w:p>
          <w:p w:rsidR="00C501ED" w:rsidRPr="004D3F2C" w:rsidRDefault="00C501ED" w:rsidP="004D3F2C">
            <w:pPr>
              <w:pStyle w:val="Default"/>
              <w:rPr>
                <w:sz w:val="22"/>
                <w:szCs w:val="22"/>
              </w:rPr>
            </w:pPr>
            <w:r w:rsidRPr="004D3F2C">
              <w:rPr>
                <w:sz w:val="22"/>
                <w:szCs w:val="22"/>
              </w:rPr>
              <w:t>(6) As soon as practicable after making a replacement declaration under subsection (4), the administrator must lodge a copy of the replacement declaration with ASIC.</w:t>
            </w:r>
          </w:p>
          <w:p w:rsidR="00C501ED" w:rsidRDefault="00C501ED" w:rsidP="004D3F2C">
            <w:pPr>
              <w:pStyle w:val="Default"/>
              <w:rPr>
                <w:sz w:val="22"/>
                <w:szCs w:val="22"/>
              </w:rPr>
            </w:pPr>
            <w:r w:rsidRPr="004D3F2C">
              <w:rPr>
                <w:sz w:val="22"/>
                <w:szCs w:val="22"/>
              </w:rPr>
              <w:t>Note: Failure to comply with this subsection is an offence (see subsection 1311(1)).</w:t>
            </w:r>
          </w:p>
        </w:tc>
        <w:tc>
          <w:tcPr>
            <w:tcW w:w="4678" w:type="dxa"/>
          </w:tcPr>
          <w:p w:rsidR="00F6226C" w:rsidRDefault="00F6226C" w:rsidP="00F6226C">
            <w:pPr>
              <w:ind w:left="0"/>
            </w:pPr>
            <w:r>
              <w:t>Same as above. Lodgement of DIRRI.</w:t>
            </w:r>
          </w:p>
          <w:p w:rsidR="00F6226C" w:rsidRDefault="00F6226C" w:rsidP="00F6226C">
            <w:pPr>
              <w:ind w:left="0"/>
            </w:pPr>
          </w:p>
          <w:p w:rsidR="00F6226C" w:rsidRDefault="00F6226C" w:rsidP="00F6226C">
            <w:pPr>
              <w:ind w:left="0"/>
            </w:pPr>
            <w:r>
              <w:t>The lodgement of the DIRRI in regard to a CVL will not be required until 1 September 2017.</w:t>
            </w:r>
          </w:p>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At the end of section 579A</w:t>
            </w:r>
          </w:p>
          <w:p w:rsidR="00C501ED" w:rsidRPr="00C95FCB" w:rsidRDefault="00C501ED" w:rsidP="004D3F2C">
            <w:pPr>
              <w:ind w:left="0"/>
              <w:rPr>
                <w:bCs/>
                <w:sz w:val="23"/>
                <w:szCs w:val="23"/>
              </w:rPr>
            </w:pPr>
          </w:p>
          <w:p w:rsidR="00C501ED" w:rsidRDefault="00C624FB" w:rsidP="004D3F2C">
            <w:pPr>
              <w:ind w:left="0"/>
              <w:rPr>
                <w:b/>
                <w:bCs/>
                <w:sz w:val="23"/>
                <w:szCs w:val="23"/>
              </w:rPr>
            </w:pPr>
            <w:hyperlink r:id="rId18" w:history="1">
              <w:r w:rsidR="00C501ED" w:rsidRPr="00927B4F">
                <w:rPr>
                  <w:rStyle w:val="Hyperlink"/>
                  <w:b/>
                  <w:bCs/>
                  <w:sz w:val="23"/>
                  <w:szCs w:val="23"/>
                </w:rPr>
                <w:t>s579a</w:t>
              </w:r>
            </w:hyperlink>
          </w:p>
          <w:p w:rsidR="00C501ED" w:rsidRDefault="00C501ED" w:rsidP="004D3F2C">
            <w:pPr>
              <w:ind w:left="0"/>
              <w:rPr>
                <w:b/>
                <w:bCs/>
                <w:sz w:val="23"/>
                <w:szCs w:val="23"/>
              </w:rPr>
            </w:pPr>
          </w:p>
        </w:tc>
        <w:tc>
          <w:tcPr>
            <w:tcW w:w="2918" w:type="dxa"/>
          </w:tcPr>
          <w:p w:rsidR="00C501ED" w:rsidRPr="00270768" w:rsidRDefault="00C501ED"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Court may vary or terminate pooling determination</w:t>
            </w:r>
          </w:p>
        </w:tc>
        <w:tc>
          <w:tcPr>
            <w:tcW w:w="4536" w:type="dxa"/>
          </w:tcPr>
          <w:p w:rsidR="00C501ED" w:rsidRPr="004D3F2C" w:rsidRDefault="00C501ED" w:rsidP="004D3F2C">
            <w:pPr>
              <w:pStyle w:val="Default"/>
              <w:rPr>
                <w:sz w:val="22"/>
                <w:szCs w:val="22"/>
              </w:rPr>
            </w:pPr>
            <w:r w:rsidRPr="004D3F2C">
              <w:rPr>
                <w:sz w:val="22"/>
                <w:szCs w:val="22"/>
              </w:rPr>
              <w:t>Add:</w:t>
            </w:r>
          </w:p>
          <w:p w:rsidR="00C501ED" w:rsidRPr="004D3F2C" w:rsidRDefault="00C501ED" w:rsidP="004D3F2C">
            <w:pPr>
              <w:pStyle w:val="Default"/>
              <w:rPr>
                <w:sz w:val="22"/>
                <w:szCs w:val="22"/>
              </w:rPr>
            </w:pPr>
            <w:r w:rsidRPr="004D3F2C">
              <w:rPr>
                <w:sz w:val="22"/>
                <w:szCs w:val="22"/>
              </w:rPr>
              <w:t>(3) If the Court makes an order under subsection (1), the applicant for the order must:</w:t>
            </w:r>
          </w:p>
          <w:p w:rsidR="00C501ED" w:rsidRPr="004D3F2C" w:rsidRDefault="00C501ED" w:rsidP="004D3F2C">
            <w:pPr>
              <w:pStyle w:val="Default"/>
              <w:rPr>
                <w:sz w:val="22"/>
                <w:szCs w:val="22"/>
              </w:rPr>
            </w:pPr>
            <w:r w:rsidRPr="004D3F2C">
              <w:rPr>
                <w:sz w:val="22"/>
                <w:szCs w:val="22"/>
              </w:rPr>
              <w:t>(a) lodge with ASIC a notice setting out the text of the order; and</w:t>
            </w:r>
          </w:p>
          <w:p w:rsidR="00C501ED" w:rsidRPr="004D3F2C" w:rsidRDefault="00C501ED" w:rsidP="004D3F2C">
            <w:pPr>
              <w:pStyle w:val="Default"/>
              <w:rPr>
                <w:sz w:val="22"/>
                <w:szCs w:val="22"/>
              </w:rPr>
            </w:pPr>
            <w:r w:rsidRPr="004D3F2C">
              <w:rPr>
                <w:sz w:val="22"/>
                <w:szCs w:val="22"/>
              </w:rPr>
              <w:t xml:space="preserve">(b) </w:t>
            </w:r>
            <w:proofErr w:type="gramStart"/>
            <w:r w:rsidRPr="004D3F2C">
              <w:rPr>
                <w:sz w:val="22"/>
                <w:szCs w:val="22"/>
              </w:rPr>
              <w:t>do</w:t>
            </w:r>
            <w:proofErr w:type="gramEnd"/>
            <w:r w:rsidRPr="004D3F2C">
              <w:rPr>
                <w:sz w:val="22"/>
                <w:szCs w:val="22"/>
              </w:rPr>
              <w:t xml:space="preserve"> so within 2 business days after the making of the order.</w:t>
            </w:r>
          </w:p>
          <w:p w:rsidR="00C501ED" w:rsidRDefault="00C501ED" w:rsidP="004D3F2C">
            <w:pPr>
              <w:pStyle w:val="Default"/>
              <w:rPr>
                <w:sz w:val="22"/>
                <w:szCs w:val="22"/>
              </w:rPr>
            </w:pPr>
            <w:r w:rsidRPr="004D3F2C">
              <w:rPr>
                <w:sz w:val="22"/>
                <w:szCs w:val="22"/>
              </w:rPr>
              <w:t>The notice must be in the prescribed form.</w:t>
            </w:r>
          </w:p>
        </w:tc>
        <w:tc>
          <w:tcPr>
            <w:tcW w:w="4678" w:type="dxa"/>
          </w:tcPr>
          <w:p w:rsidR="00D204C9" w:rsidRPr="00F6226C" w:rsidRDefault="00D204C9" w:rsidP="00D204C9">
            <w:pPr>
              <w:ind w:left="0"/>
              <w:rPr>
                <w:b/>
                <w:color w:val="4472C4" w:themeColor="accent5"/>
                <w:u w:val="single"/>
              </w:rPr>
            </w:pPr>
            <w:r w:rsidRPr="00F6226C">
              <w:rPr>
                <w:b/>
                <w:color w:val="4472C4" w:themeColor="accent5"/>
                <w:u w:val="single"/>
              </w:rPr>
              <w:t xml:space="preserve">A </w:t>
            </w:r>
            <w:r w:rsidR="00F6226C" w:rsidRPr="00F6226C">
              <w:rPr>
                <w:b/>
                <w:color w:val="4472C4" w:themeColor="accent5"/>
                <w:u w:val="single"/>
              </w:rPr>
              <w:t xml:space="preserve">new </w:t>
            </w:r>
            <w:r w:rsidRPr="00F6226C">
              <w:rPr>
                <w:b/>
                <w:color w:val="4472C4" w:themeColor="accent5"/>
                <w:u w:val="single"/>
              </w:rPr>
              <w:t>prescribed form will be issued by ASIC.</w:t>
            </w:r>
          </w:p>
          <w:p w:rsidR="00C501ED" w:rsidRDefault="00C501ED" w:rsidP="00145DB9">
            <w:pPr>
              <w:ind w:left="0"/>
            </w:pPr>
          </w:p>
          <w:p w:rsidR="0037046F" w:rsidRDefault="0037046F" w:rsidP="00137077">
            <w:pPr>
              <w:ind w:left="0"/>
            </w:pPr>
          </w:p>
          <w:p w:rsidR="00D204C9" w:rsidRDefault="00D204C9" w:rsidP="00145DB9">
            <w:pPr>
              <w:ind w:left="0"/>
            </w:pPr>
          </w:p>
        </w:tc>
      </w:tr>
      <w:tr w:rsidR="00C501ED" w:rsidTr="00B910F7">
        <w:tc>
          <w:tcPr>
            <w:tcW w:w="2747" w:type="dxa"/>
          </w:tcPr>
          <w:p w:rsidR="00C501ED" w:rsidRPr="00C95FCB" w:rsidRDefault="00C501ED" w:rsidP="004D3F2C">
            <w:pPr>
              <w:tabs>
                <w:tab w:val="left" w:pos="2205"/>
              </w:tabs>
              <w:ind w:left="0"/>
              <w:rPr>
                <w:bCs/>
                <w:sz w:val="23"/>
                <w:szCs w:val="23"/>
              </w:rPr>
            </w:pPr>
            <w:r w:rsidRPr="00C95FCB">
              <w:rPr>
                <w:bCs/>
                <w:sz w:val="23"/>
                <w:szCs w:val="23"/>
              </w:rPr>
              <w:t>At the end of section 579B</w:t>
            </w:r>
          </w:p>
          <w:p w:rsidR="00C501ED" w:rsidRPr="00C95FCB" w:rsidRDefault="00C501ED" w:rsidP="004D3F2C">
            <w:pPr>
              <w:tabs>
                <w:tab w:val="left" w:pos="2205"/>
              </w:tabs>
              <w:ind w:left="0"/>
              <w:rPr>
                <w:bCs/>
                <w:sz w:val="23"/>
                <w:szCs w:val="23"/>
              </w:rPr>
            </w:pPr>
          </w:p>
          <w:p w:rsidR="00C501ED" w:rsidRDefault="00C624FB" w:rsidP="00927B4F">
            <w:pPr>
              <w:ind w:left="0"/>
              <w:rPr>
                <w:b/>
                <w:bCs/>
                <w:sz w:val="23"/>
                <w:szCs w:val="23"/>
              </w:rPr>
            </w:pPr>
            <w:hyperlink r:id="rId19" w:history="1">
              <w:r w:rsidR="00C501ED" w:rsidRPr="00927B4F">
                <w:rPr>
                  <w:rStyle w:val="Hyperlink"/>
                  <w:b/>
                  <w:bCs/>
                  <w:sz w:val="23"/>
                  <w:szCs w:val="23"/>
                </w:rPr>
                <w:t>s579</w:t>
              </w:r>
              <w:r w:rsidR="00C501ED">
                <w:rPr>
                  <w:rStyle w:val="Hyperlink"/>
                  <w:b/>
                  <w:bCs/>
                  <w:sz w:val="23"/>
                  <w:szCs w:val="23"/>
                </w:rPr>
                <w:t>b</w:t>
              </w:r>
            </w:hyperlink>
          </w:p>
          <w:p w:rsidR="00C501ED" w:rsidRDefault="00C501ED" w:rsidP="004D3F2C">
            <w:pPr>
              <w:tabs>
                <w:tab w:val="left" w:pos="2205"/>
              </w:tabs>
              <w:ind w:left="0"/>
              <w:rPr>
                <w:b/>
                <w:bCs/>
                <w:sz w:val="23"/>
                <w:szCs w:val="23"/>
              </w:rPr>
            </w:pPr>
          </w:p>
        </w:tc>
        <w:tc>
          <w:tcPr>
            <w:tcW w:w="2918" w:type="dxa"/>
          </w:tcPr>
          <w:p w:rsidR="00C501ED" w:rsidRPr="00270768" w:rsidRDefault="00C501ED"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Court may cancel or confirm variation</w:t>
            </w:r>
          </w:p>
        </w:tc>
        <w:tc>
          <w:tcPr>
            <w:tcW w:w="4536" w:type="dxa"/>
          </w:tcPr>
          <w:p w:rsidR="00C501ED" w:rsidRPr="004D3F2C" w:rsidRDefault="00C501ED" w:rsidP="004D3F2C">
            <w:pPr>
              <w:pStyle w:val="Default"/>
              <w:rPr>
                <w:sz w:val="22"/>
                <w:szCs w:val="22"/>
              </w:rPr>
            </w:pPr>
            <w:r w:rsidRPr="004D3F2C">
              <w:rPr>
                <w:sz w:val="22"/>
                <w:szCs w:val="22"/>
              </w:rPr>
              <w:t>Add:</w:t>
            </w:r>
          </w:p>
          <w:p w:rsidR="00C501ED" w:rsidRPr="004D3F2C" w:rsidRDefault="00C501ED" w:rsidP="004D3F2C">
            <w:pPr>
              <w:pStyle w:val="Default"/>
              <w:rPr>
                <w:sz w:val="22"/>
                <w:szCs w:val="22"/>
              </w:rPr>
            </w:pPr>
            <w:r w:rsidRPr="004D3F2C">
              <w:rPr>
                <w:sz w:val="22"/>
                <w:szCs w:val="22"/>
              </w:rPr>
              <w:t>(3) If the Court makes an order under subsection (2), the applicant for the order must:</w:t>
            </w:r>
          </w:p>
          <w:p w:rsidR="00C501ED" w:rsidRPr="004D3F2C" w:rsidRDefault="00C501ED" w:rsidP="004D3F2C">
            <w:pPr>
              <w:pStyle w:val="Default"/>
              <w:rPr>
                <w:sz w:val="22"/>
                <w:szCs w:val="22"/>
              </w:rPr>
            </w:pPr>
            <w:r w:rsidRPr="004D3F2C">
              <w:rPr>
                <w:sz w:val="22"/>
                <w:szCs w:val="22"/>
              </w:rPr>
              <w:t>(a) lodge with ASIC a notice setting out the text of the order; and</w:t>
            </w:r>
          </w:p>
          <w:p w:rsidR="00C501ED" w:rsidRPr="004D3F2C" w:rsidRDefault="00C501ED" w:rsidP="004D3F2C">
            <w:pPr>
              <w:pStyle w:val="Default"/>
              <w:rPr>
                <w:sz w:val="22"/>
                <w:szCs w:val="22"/>
              </w:rPr>
            </w:pPr>
            <w:r w:rsidRPr="004D3F2C">
              <w:rPr>
                <w:sz w:val="22"/>
                <w:szCs w:val="22"/>
              </w:rPr>
              <w:t xml:space="preserve">(b) </w:t>
            </w:r>
            <w:proofErr w:type="gramStart"/>
            <w:r w:rsidRPr="004D3F2C">
              <w:rPr>
                <w:sz w:val="22"/>
                <w:szCs w:val="22"/>
              </w:rPr>
              <w:t>do</w:t>
            </w:r>
            <w:proofErr w:type="gramEnd"/>
            <w:r w:rsidRPr="004D3F2C">
              <w:rPr>
                <w:sz w:val="22"/>
                <w:szCs w:val="22"/>
              </w:rPr>
              <w:t xml:space="preserve"> so within 2 business days after the making of the order.</w:t>
            </w:r>
          </w:p>
          <w:p w:rsidR="00C501ED" w:rsidRDefault="00C501ED" w:rsidP="004D3F2C">
            <w:pPr>
              <w:pStyle w:val="Default"/>
              <w:rPr>
                <w:sz w:val="22"/>
                <w:szCs w:val="22"/>
              </w:rPr>
            </w:pPr>
            <w:r w:rsidRPr="004D3F2C">
              <w:rPr>
                <w:sz w:val="22"/>
                <w:szCs w:val="22"/>
              </w:rPr>
              <w:t>The notice must be in the prescribed form.</w:t>
            </w:r>
          </w:p>
        </w:tc>
        <w:tc>
          <w:tcPr>
            <w:tcW w:w="4678" w:type="dxa"/>
          </w:tcPr>
          <w:p w:rsidR="00F6226C" w:rsidRPr="00F6226C" w:rsidRDefault="00F6226C" w:rsidP="00F6226C">
            <w:pPr>
              <w:ind w:left="0"/>
              <w:rPr>
                <w:b/>
                <w:color w:val="4472C4" w:themeColor="accent5"/>
                <w:u w:val="single"/>
              </w:rPr>
            </w:pPr>
            <w:r w:rsidRPr="00F6226C">
              <w:rPr>
                <w:b/>
                <w:color w:val="4472C4" w:themeColor="accent5"/>
                <w:u w:val="single"/>
              </w:rPr>
              <w:t>A new prescribed form will be issued by ASIC.</w:t>
            </w:r>
          </w:p>
          <w:p w:rsidR="00C501ED" w:rsidRDefault="00C501ED"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At the end of section 579C</w:t>
            </w:r>
          </w:p>
          <w:p w:rsidR="00C501ED" w:rsidRPr="00C95FCB" w:rsidRDefault="00C501ED" w:rsidP="00C501ED">
            <w:pPr>
              <w:tabs>
                <w:tab w:val="left" w:pos="2205"/>
              </w:tabs>
              <w:ind w:left="0"/>
              <w:rPr>
                <w:bCs/>
                <w:sz w:val="23"/>
                <w:szCs w:val="23"/>
              </w:rPr>
            </w:pPr>
          </w:p>
          <w:p w:rsidR="00C501ED" w:rsidRDefault="00C624FB" w:rsidP="00C501ED">
            <w:pPr>
              <w:ind w:left="0"/>
              <w:rPr>
                <w:b/>
                <w:bCs/>
                <w:sz w:val="23"/>
                <w:szCs w:val="23"/>
              </w:rPr>
            </w:pPr>
            <w:hyperlink r:id="rId20" w:history="1">
              <w:r w:rsidR="00C501ED" w:rsidRPr="00927B4F">
                <w:rPr>
                  <w:rStyle w:val="Hyperlink"/>
                  <w:b/>
                  <w:bCs/>
                  <w:sz w:val="23"/>
                  <w:szCs w:val="23"/>
                </w:rPr>
                <w:t>s579</w:t>
              </w:r>
              <w:r w:rsidR="00C501ED">
                <w:rPr>
                  <w:rStyle w:val="Hyperlink"/>
                  <w:b/>
                  <w:bCs/>
                  <w:sz w:val="23"/>
                  <w:szCs w:val="23"/>
                </w:rPr>
                <w:t>c</w:t>
              </w:r>
            </w:hyperlink>
          </w:p>
          <w:p w:rsidR="00C501ED" w:rsidRDefault="00C501ED" w:rsidP="004D3F2C">
            <w:pPr>
              <w:ind w:left="0"/>
              <w:rPr>
                <w:b/>
                <w:bCs/>
                <w:sz w:val="23"/>
                <w:szCs w:val="23"/>
              </w:rPr>
            </w:pPr>
          </w:p>
        </w:tc>
        <w:tc>
          <w:tcPr>
            <w:tcW w:w="2918" w:type="dxa"/>
          </w:tcPr>
          <w:p w:rsidR="00C501ED" w:rsidRPr="00270768" w:rsidRDefault="00C501ED"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When Court may void or validate pooling determination</w:t>
            </w:r>
          </w:p>
        </w:tc>
        <w:tc>
          <w:tcPr>
            <w:tcW w:w="4536" w:type="dxa"/>
          </w:tcPr>
          <w:p w:rsidR="00C501ED" w:rsidRDefault="00C501ED" w:rsidP="004D3F2C">
            <w:pPr>
              <w:pStyle w:val="Default"/>
              <w:rPr>
                <w:sz w:val="22"/>
                <w:szCs w:val="22"/>
              </w:rPr>
            </w:pPr>
            <w:r>
              <w:rPr>
                <w:sz w:val="22"/>
                <w:szCs w:val="22"/>
              </w:rPr>
              <w:t xml:space="preserve">Add: </w:t>
            </w:r>
          </w:p>
          <w:p w:rsidR="00C501ED" w:rsidRDefault="00C501ED" w:rsidP="004D3F2C">
            <w:pPr>
              <w:pStyle w:val="Default"/>
              <w:rPr>
                <w:sz w:val="22"/>
                <w:szCs w:val="22"/>
              </w:rPr>
            </w:pPr>
            <w:r>
              <w:rPr>
                <w:sz w:val="22"/>
                <w:szCs w:val="22"/>
              </w:rPr>
              <w:t xml:space="preserve">(5) If the Court makes an order under subsection (2), the applicant for the order must: </w:t>
            </w:r>
          </w:p>
          <w:p w:rsidR="00C501ED" w:rsidRDefault="00C501ED" w:rsidP="004D3F2C">
            <w:pPr>
              <w:pStyle w:val="Default"/>
              <w:rPr>
                <w:sz w:val="22"/>
                <w:szCs w:val="22"/>
              </w:rPr>
            </w:pPr>
            <w:r>
              <w:rPr>
                <w:sz w:val="22"/>
                <w:szCs w:val="22"/>
              </w:rPr>
              <w:t xml:space="preserve">(a) lodge with ASIC a notice setting out the text of the order; and </w:t>
            </w:r>
          </w:p>
          <w:p w:rsidR="00C501ED" w:rsidRDefault="00C501ED" w:rsidP="004D3F2C">
            <w:pPr>
              <w:pStyle w:val="Default"/>
              <w:rPr>
                <w:sz w:val="22"/>
                <w:szCs w:val="22"/>
              </w:rPr>
            </w:pPr>
            <w:r>
              <w:rPr>
                <w:sz w:val="22"/>
                <w:szCs w:val="22"/>
              </w:rPr>
              <w:t xml:space="preserve">(b) </w:t>
            </w:r>
            <w:proofErr w:type="gramStart"/>
            <w:r>
              <w:rPr>
                <w:sz w:val="22"/>
                <w:szCs w:val="22"/>
              </w:rPr>
              <w:t>do</w:t>
            </w:r>
            <w:proofErr w:type="gramEnd"/>
            <w:r>
              <w:rPr>
                <w:sz w:val="22"/>
                <w:szCs w:val="22"/>
              </w:rPr>
              <w:t xml:space="preserve"> so within 2 business days after the making of the order.</w:t>
            </w:r>
          </w:p>
          <w:p w:rsidR="00C501ED" w:rsidRDefault="00C501ED" w:rsidP="004D3F2C">
            <w:pPr>
              <w:pStyle w:val="Default"/>
              <w:rPr>
                <w:sz w:val="22"/>
                <w:szCs w:val="22"/>
              </w:rPr>
            </w:pPr>
            <w:r>
              <w:rPr>
                <w:sz w:val="22"/>
                <w:szCs w:val="22"/>
              </w:rPr>
              <w:t xml:space="preserve">The notice must be in the prescribed form. </w:t>
            </w:r>
          </w:p>
          <w:p w:rsidR="00C501ED" w:rsidRDefault="00C501ED" w:rsidP="004D3F2C">
            <w:pPr>
              <w:pStyle w:val="Default"/>
              <w:rPr>
                <w:sz w:val="22"/>
                <w:szCs w:val="22"/>
              </w:rPr>
            </w:pPr>
            <w:r>
              <w:rPr>
                <w:sz w:val="22"/>
                <w:szCs w:val="22"/>
              </w:rPr>
              <w:t xml:space="preserve">(6) If the Court makes a declaration under subsection (3), the applicant for the declaration must: </w:t>
            </w:r>
          </w:p>
          <w:p w:rsidR="00C501ED" w:rsidRDefault="00C501ED" w:rsidP="004D3F2C">
            <w:pPr>
              <w:pStyle w:val="Default"/>
              <w:rPr>
                <w:sz w:val="22"/>
                <w:szCs w:val="22"/>
              </w:rPr>
            </w:pPr>
            <w:r>
              <w:rPr>
                <w:sz w:val="22"/>
                <w:szCs w:val="22"/>
              </w:rPr>
              <w:t xml:space="preserve">(a) lodge with ASIC a notice setting out the text of the declaration; and </w:t>
            </w:r>
          </w:p>
          <w:p w:rsidR="00C501ED" w:rsidRDefault="00C501ED" w:rsidP="004D3F2C">
            <w:pPr>
              <w:pStyle w:val="Default"/>
              <w:rPr>
                <w:sz w:val="22"/>
                <w:szCs w:val="22"/>
              </w:rPr>
            </w:pPr>
            <w:r>
              <w:rPr>
                <w:sz w:val="22"/>
                <w:szCs w:val="22"/>
              </w:rPr>
              <w:t xml:space="preserve">(b) </w:t>
            </w:r>
            <w:proofErr w:type="gramStart"/>
            <w:r>
              <w:rPr>
                <w:sz w:val="22"/>
                <w:szCs w:val="22"/>
              </w:rPr>
              <w:t>do</w:t>
            </w:r>
            <w:proofErr w:type="gramEnd"/>
            <w:r>
              <w:rPr>
                <w:sz w:val="22"/>
                <w:szCs w:val="22"/>
              </w:rPr>
              <w:t xml:space="preserve"> so within 2 business days after the making of the declaration. </w:t>
            </w:r>
          </w:p>
          <w:p w:rsidR="00C501ED" w:rsidRDefault="00C501ED" w:rsidP="004D3F2C">
            <w:pPr>
              <w:pStyle w:val="Default"/>
              <w:rPr>
                <w:sz w:val="22"/>
                <w:szCs w:val="22"/>
              </w:rPr>
            </w:pPr>
            <w:r>
              <w:rPr>
                <w:sz w:val="22"/>
                <w:szCs w:val="22"/>
              </w:rPr>
              <w:t xml:space="preserve">The notice must be in the prescribed form. </w:t>
            </w:r>
          </w:p>
          <w:p w:rsidR="00C501ED" w:rsidRDefault="00C501ED" w:rsidP="004D3F2C">
            <w:pPr>
              <w:pStyle w:val="Default"/>
              <w:rPr>
                <w:sz w:val="22"/>
                <w:szCs w:val="22"/>
              </w:rPr>
            </w:pPr>
            <w:r>
              <w:rPr>
                <w:sz w:val="22"/>
                <w:szCs w:val="22"/>
              </w:rPr>
              <w:t xml:space="preserve">(7) If the Court makes an order under subsection (4) on the application of a person, the applicant for the order must: </w:t>
            </w:r>
          </w:p>
          <w:p w:rsidR="00C501ED" w:rsidRDefault="00C501ED" w:rsidP="004D3F2C">
            <w:pPr>
              <w:pStyle w:val="Default"/>
              <w:rPr>
                <w:sz w:val="22"/>
                <w:szCs w:val="22"/>
              </w:rPr>
            </w:pPr>
            <w:r>
              <w:rPr>
                <w:sz w:val="22"/>
                <w:szCs w:val="22"/>
              </w:rPr>
              <w:t xml:space="preserve">(a) lodge with ASIC a notice setting out the text of the order; and </w:t>
            </w:r>
          </w:p>
          <w:p w:rsidR="00C501ED" w:rsidRDefault="00C501ED" w:rsidP="004D3F2C">
            <w:pPr>
              <w:pStyle w:val="Default"/>
              <w:rPr>
                <w:sz w:val="22"/>
                <w:szCs w:val="22"/>
              </w:rPr>
            </w:pPr>
            <w:r>
              <w:rPr>
                <w:sz w:val="22"/>
                <w:szCs w:val="22"/>
              </w:rPr>
              <w:t xml:space="preserve">(b) </w:t>
            </w:r>
            <w:proofErr w:type="gramStart"/>
            <w:r>
              <w:rPr>
                <w:sz w:val="22"/>
                <w:szCs w:val="22"/>
              </w:rPr>
              <w:t>do</w:t>
            </w:r>
            <w:proofErr w:type="gramEnd"/>
            <w:r>
              <w:rPr>
                <w:sz w:val="22"/>
                <w:szCs w:val="22"/>
              </w:rPr>
              <w:t xml:space="preserve"> so within 2 business days after the making of the order. </w:t>
            </w:r>
          </w:p>
          <w:p w:rsidR="00C501ED" w:rsidRDefault="00C501ED" w:rsidP="004D3F2C">
            <w:pPr>
              <w:pStyle w:val="Default"/>
              <w:rPr>
                <w:sz w:val="22"/>
                <w:szCs w:val="22"/>
              </w:rPr>
            </w:pPr>
            <w:r>
              <w:rPr>
                <w:sz w:val="22"/>
                <w:szCs w:val="22"/>
              </w:rPr>
              <w:t>The notice must be in the prescribed form.</w:t>
            </w:r>
          </w:p>
        </w:tc>
        <w:tc>
          <w:tcPr>
            <w:tcW w:w="4678" w:type="dxa"/>
          </w:tcPr>
          <w:p w:rsidR="00F6226C" w:rsidRPr="00F6226C" w:rsidRDefault="00F6226C" w:rsidP="00F6226C">
            <w:pPr>
              <w:ind w:left="0"/>
              <w:rPr>
                <w:b/>
                <w:color w:val="4472C4" w:themeColor="accent5"/>
                <w:u w:val="single"/>
              </w:rPr>
            </w:pPr>
            <w:r w:rsidRPr="00F6226C">
              <w:rPr>
                <w:b/>
                <w:color w:val="4472C4" w:themeColor="accent5"/>
                <w:u w:val="single"/>
              </w:rPr>
              <w:t>A new prescribed form will be issued by ASIC.</w:t>
            </w:r>
          </w:p>
          <w:p w:rsidR="00137077" w:rsidRDefault="00137077" w:rsidP="004D3F2C">
            <w:pPr>
              <w:ind w:left="0"/>
            </w:pPr>
          </w:p>
        </w:tc>
      </w:tr>
      <w:tr w:rsidR="00C501ED" w:rsidTr="00B910F7">
        <w:tc>
          <w:tcPr>
            <w:tcW w:w="2747" w:type="dxa"/>
          </w:tcPr>
          <w:p w:rsidR="00C501ED" w:rsidRPr="00C95FCB" w:rsidRDefault="00C501ED" w:rsidP="004D3F2C">
            <w:pPr>
              <w:ind w:left="0"/>
              <w:rPr>
                <w:bCs/>
                <w:sz w:val="23"/>
                <w:szCs w:val="23"/>
              </w:rPr>
            </w:pPr>
            <w:r w:rsidRPr="00C95FCB">
              <w:rPr>
                <w:bCs/>
                <w:sz w:val="23"/>
                <w:szCs w:val="23"/>
              </w:rPr>
              <w:t>Subsections 588FGA(1) and (4)</w:t>
            </w:r>
          </w:p>
          <w:p w:rsidR="002B7650" w:rsidRPr="00C95FCB" w:rsidRDefault="002B7650" w:rsidP="004D3F2C">
            <w:pPr>
              <w:ind w:left="0"/>
              <w:rPr>
                <w:bCs/>
                <w:sz w:val="23"/>
                <w:szCs w:val="23"/>
              </w:rPr>
            </w:pPr>
          </w:p>
          <w:p w:rsidR="002B7650" w:rsidRDefault="00C624FB" w:rsidP="004D3F2C">
            <w:pPr>
              <w:ind w:left="0"/>
              <w:rPr>
                <w:b/>
                <w:bCs/>
                <w:sz w:val="23"/>
                <w:szCs w:val="23"/>
              </w:rPr>
            </w:pPr>
            <w:hyperlink r:id="rId21" w:history="1">
              <w:r w:rsidR="002B7650" w:rsidRPr="002B7650">
                <w:rPr>
                  <w:rStyle w:val="Hyperlink"/>
                  <w:b/>
                  <w:bCs/>
                  <w:sz w:val="23"/>
                  <w:szCs w:val="23"/>
                </w:rPr>
                <w:t>s588fga</w:t>
              </w:r>
            </w:hyperlink>
          </w:p>
          <w:p w:rsidR="002B7650" w:rsidRDefault="002B7650" w:rsidP="004D3F2C">
            <w:pPr>
              <w:ind w:left="0"/>
              <w:rPr>
                <w:b/>
                <w:bCs/>
                <w:sz w:val="23"/>
                <w:szCs w:val="23"/>
              </w:rPr>
            </w:pPr>
          </w:p>
        </w:tc>
        <w:tc>
          <w:tcPr>
            <w:tcW w:w="2918" w:type="dxa"/>
          </w:tcPr>
          <w:p w:rsidR="00C501ED" w:rsidRPr="00270768" w:rsidRDefault="002B7650" w:rsidP="004D3F2C">
            <w:pPr>
              <w:pStyle w:val="Default"/>
              <w:rPr>
                <w:rFonts w:asciiTheme="minorHAnsi" w:hAnsiTheme="minorHAnsi" w:cstheme="minorBidi"/>
                <w:bCs/>
                <w:color w:val="auto"/>
                <w:sz w:val="22"/>
                <w:szCs w:val="22"/>
              </w:rPr>
            </w:pPr>
            <w:r w:rsidRPr="00270768">
              <w:rPr>
                <w:rFonts w:asciiTheme="minorHAnsi" w:hAnsiTheme="minorHAnsi" w:cstheme="minorBidi"/>
                <w:bCs/>
                <w:color w:val="auto"/>
                <w:sz w:val="22"/>
                <w:szCs w:val="22"/>
              </w:rPr>
              <w:t>Directors to indemnify Commissioner of Taxation if certain payments set aside</w:t>
            </w:r>
          </w:p>
        </w:tc>
        <w:tc>
          <w:tcPr>
            <w:tcW w:w="4536" w:type="dxa"/>
          </w:tcPr>
          <w:p w:rsidR="002238CA" w:rsidRDefault="002238CA" w:rsidP="002238CA">
            <w:pPr>
              <w:pStyle w:val="Default"/>
              <w:rPr>
                <w:rFonts w:asciiTheme="minorHAnsi" w:hAnsiTheme="minorHAnsi" w:cstheme="minorBidi"/>
                <w:color w:val="auto"/>
                <w:sz w:val="22"/>
                <w:szCs w:val="22"/>
              </w:rPr>
            </w:pPr>
            <w:r>
              <w:rPr>
                <w:rFonts w:asciiTheme="minorHAnsi" w:hAnsiTheme="minorHAnsi" w:cstheme="minorBidi"/>
                <w:color w:val="auto"/>
                <w:sz w:val="22"/>
                <w:szCs w:val="22"/>
              </w:rPr>
              <w:t>Non-material software change</w:t>
            </w:r>
          </w:p>
          <w:p w:rsidR="00C501ED" w:rsidRDefault="00C501ED" w:rsidP="004D3F2C">
            <w:pPr>
              <w:pStyle w:val="Default"/>
              <w:rPr>
                <w:sz w:val="22"/>
                <w:szCs w:val="22"/>
              </w:rPr>
            </w:pPr>
          </w:p>
        </w:tc>
        <w:tc>
          <w:tcPr>
            <w:tcW w:w="4678" w:type="dxa"/>
          </w:tcPr>
          <w:p w:rsidR="00C501ED" w:rsidRDefault="00C501ED" w:rsidP="004D3F2C">
            <w:pPr>
              <w:ind w:left="0"/>
            </w:pPr>
          </w:p>
        </w:tc>
      </w:tr>
    </w:tbl>
    <w:p w:rsidR="006216A5" w:rsidRDefault="006216A5" w:rsidP="004D3F2C">
      <w:pPr>
        <w:ind w:left="0"/>
      </w:pPr>
      <w:bookmarkStart w:id="0" w:name="_GoBack"/>
      <w:bookmarkEnd w:id="0"/>
    </w:p>
    <w:sectPr w:rsidR="006216A5" w:rsidSect="00197C54">
      <w:headerReference w:type="default" r:id="rId22"/>
      <w:footerReference w:type="default" r:id="rId23"/>
      <w:pgSz w:w="16838" w:h="11906" w:orient="landscape"/>
      <w:pgMar w:top="1276" w:right="1103" w:bottom="709" w:left="1134"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2C" w:rsidRDefault="004D3F2C" w:rsidP="004D3F2C">
      <w:r>
        <w:separator/>
      </w:r>
    </w:p>
  </w:endnote>
  <w:endnote w:type="continuationSeparator" w:id="0">
    <w:p w:rsidR="004D3F2C" w:rsidRDefault="004D3F2C" w:rsidP="004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4" w:rsidRDefault="00197C5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24FB">
      <w:rPr>
        <w:caps/>
        <w:noProof/>
        <w:color w:val="5B9BD5" w:themeColor="accent1"/>
      </w:rPr>
      <w:t>8</w:t>
    </w:r>
    <w:r>
      <w:rPr>
        <w:caps/>
        <w:noProof/>
        <w:color w:val="5B9BD5" w:themeColor="accent1"/>
      </w:rPr>
      <w:fldChar w:fldCharType="end"/>
    </w:r>
  </w:p>
  <w:p w:rsidR="00197C54" w:rsidRDefault="0019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2C" w:rsidRDefault="004D3F2C" w:rsidP="004D3F2C">
      <w:r>
        <w:separator/>
      </w:r>
    </w:p>
  </w:footnote>
  <w:footnote w:type="continuationSeparator" w:id="0">
    <w:p w:rsidR="004D3F2C" w:rsidRDefault="004D3F2C" w:rsidP="004D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2C" w:rsidRDefault="00B910F7" w:rsidP="004D3F2C">
    <w:pPr>
      <w:pStyle w:val="Header"/>
      <w:ind w:left="0"/>
    </w:pPr>
    <w:r>
      <w:t>I</w:t>
    </w:r>
    <w:r w:rsidR="00A907C7">
      <w:t>nsolvency Law Reform Act 2016 – Consideration of changes impact on software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2C"/>
    <w:rsid w:val="0000174E"/>
    <w:rsid w:val="00027C78"/>
    <w:rsid w:val="000B4DC9"/>
    <w:rsid w:val="001143B0"/>
    <w:rsid w:val="001328AB"/>
    <w:rsid w:val="0013487E"/>
    <w:rsid w:val="00137077"/>
    <w:rsid w:val="00145DB9"/>
    <w:rsid w:val="00197C54"/>
    <w:rsid w:val="001B283D"/>
    <w:rsid w:val="002238CA"/>
    <w:rsid w:val="00242AAB"/>
    <w:rsid w:val="00270768"/>
    <w:rsid w:val="00294760"/>
    <w:rsid w:val="002B7650"/>
    <w:rsid w:val="00320FFE"/>
    <w:rsid w:val="00322267"/>
    <w:rsid w:val="003444CA"/>
    <w:rsid w:val="0037046F"/>
    <w:rsid w:val="00467838"/>
    <w:rsid w:val="00473A1C"/>
    <w:rsid w:val="004D3F2C"/>
    <w:rsid w:val="005E6388"/>
    <w:rsid w:val="006201BF"/>
    <w:rsid w:val="006216A5"/>
    <w:rsid w:val="006452BC"/>
    <w:rsid w:val="0067489E"/>
    <w:rsid w:val="00677BD9"/>
    <w:rsid w:val="00693564"/>
    <w:rsid w:val="00711F28"/>
    <w:rsid w:val="00753695"/>
    <w:rsid w:val="007B1F62"/>
    <w:rsid w:val="007C62B1"/>
    <w:rsid w:val="008D2F2C"/>
    <w:rsid w:val="008E3483"/>
    <w:rsid w:val="00900322"/>
    <w:rsid w:val="00917335"/>
    <w:rsid w:val="00927B4F"/>
    <w:rsid w:val="009365C3"/>
    <w:rsid w:val="00947540"/>
    <w:rsid w:val="00981356"/>
    <w:rsid w:val="00993034"/>
    <w:rsid w:val="00995EAF"/>
    <w:rsid w:val="009B7AAF"/>
    <w:rsid w:val="009F7A1F"/>
    <w:rsid w:val="00A40B84"/>
    <w:rsid w:val="00A67439"/>
    <w:rsid w:val="00A907C7"/>
    <w:rsid w:val="00AF2EBD"/>
    <w:rsid w:val="00B06EB8"/>
    <w:rsid w:val="00B45691"/>
    <w:rsid w:val="00B55CE8"/>
    <w:rsid w:val="00B56B6D"/>
    <w:rsid w:val="00B910F7"/>
    <w:rsid w:val="00BB75E0"/>
    <w:rsid w:val="00BD0B22"/>
    <w:rsid w:val="00BE4A48"/>
    <w:rsid w:val="00C246BD"/>
    <w:rsid w:val="00C501ED"/>
    <w:rsid w:val="00C624FB"/>
    <w:rsid w:val="00C95FCB"/>
    <w:rsid w:val="00CC0548"/>
    <w:rsid w:val="00CD1517"/>
    <w:rsid w:val="00CF2A5A"/>
    <w:rsid w:val="00D204C9"/>
    <w:rsid w:val="00D50A97"/>
    <w:rsid w:val="00D60BFF"/>
    <w:rsid w:val="00D87191"/>
    <w:rsid w:val="00DC227A"/>
    <w:rsid w:val="00DE4337"/>
    <w:rsid w:val="00DF5D38"/>
    <w:rsid w:val="00EC29BE"/>
    <w:rsid w:val="00F47EE6"/>
    <w:rsid w:val="00F544D2"/>
    <w:rsid w:val="00F62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1ED74D-0BD7-404B-9E03-5411A618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F2C"/>
    <w:pPr>
      <w:autoSpaceDE w:val="0"/>
      <w:autoSpaceDN w:val="0"/>
      <w:adjustRightInd w:val="0"/>
      <w:ind w:left="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3F2C"/>
    <w:pPr>
      <w:tabs>
        <w:tab w:val="center" w:pos="4513"/>
        <w:tab w:val="right" w:pos="9026"/>
      </w:tabs>
    </w:pPr>
  </w:style>
  <w:style w:type="character" w:customStyle="1" w:styleId="HeaderChar">
    <w:name w:val="Header Char"/>
    <w:basedOn w:val="DefaultParagraphFont"/>
    <w:link w:val="Header"/>
    <w:uiPriority w:val="99"/>
    <w:rsid w:val="004D3F2C"/>
  </w:style>
  <w:style w:type="paragraph" w:styleId="Footer">
    <w:name w:val="footer"/>
    <w:basedOn w:val="Normal"/>
    <w:link w:val="FooterChar"/>
    <w:uiPriority w:val="99"/>
    <w:unhideWhenUsed/>
    <w:rsid w:val="004D3F2C"/>
    <w:pPr>
      <w:tabs>
        <w:tab w:val="center" w:pos="4513"/>
        <w:tab w:val="right" w:pos="9026"/>
      </w:tabs>
    </w:pPr>
  </w:style>
  <w:style w:type="character" w:customStyle="1" w:styleId="FooterChar">
    <w:name w:val="Footer Char"/>
    <w:basedOn w:val="DefaultParagraphFont"/>
    <w:link w:val="Footer"/>
    <w:uiPriority w:val="99"/>
    <w:rsid w:val="004D3F2C"/>
  </w:style>
  <w:style w:type="character" w:styleId="Hyperlink">
    <w:name w:val="Hyperlink"/>
    <w:basedOn w:val="DefaultParagraphFont"/>
    <w:uiPriority w:val="99"/>
    <w:unhideWhenUsed/>
    <w:rsid w:val="00927B4F"/>
    <w:rPr>
      <w:color w:val="0563C1" w:themeColor="hyperlink"/>
      <w:u w:val="single"/>
    </w:rPr>
  </w:style>
  <w:style w:type="character" w:styleId="FollowedHyperlink">
    <w:name w:val="FollowedHyperlink"/>
    <w:basedOn w:val="DefaultParagraphFont"/>
    <w:uiPriority w:val="99"/>
    <w:semiHidden/>
    <w:unhideWhenUsed/>
    <w:rsid w:val="00C50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ca2001172/s482.html" TargetMode="External"/><Relationship Id="rId13" Type="http://schemas.openxmlformats.org/officeDocument/2006/relationships/hyperlink" Target="http://www.austlii.edu.au/au/legis/cth/consol_act/ca2001172/s449ca.html" TargetMode="External"/><Relationship Id="rId18" Type="http://schemas.openxmlformats.org/officeDocument/2006/relationships/hyperlink" Target="http://www.austlii.edu.au/au/legis/cth/consol_act/ca2001172/s579a.html" TargetMode="External"/><Relationship Id="rId3" Type="http://schemas.openxmlformats.org/officeDocument/2006/relationships/settings" Target="settings.xml"/><Relationship Id="rId21" Type="http://schemas.openxmlformats.org/officeDocument/2006/relationships/hyperlink" Target="http://www.austlii.edu.au/au/legis/cth/consol_act/ca2001172/s588fga.html" TargetMode="External"/><Relationship Id="rId7" Type="http://schemas.openxmlformats.org/officeDocument/2006/relationships/hyperlink" Target="http://www.asic.gov.au/regulatory-resources/forms/forms-folder/908-annual-statement-by-a-liquidator/" TargetMode="External"/><Relationship Id="rId12" Type="http://schemas.openxmlformats.org/officeDocument/2006/relationships/hyperlink" Target="http://www.austlii.edu.au/au/legis/cth/consol_act/ca2001172/s436da.html" TargetMode="External"/><Relationship Id="rId17" Type="http://schemas.openxmlformats.org/officeDocument/2006/relationships/hyperlink" Target="http://www.austlii.edu.au/au/legis/cth/consol_act/ca2001172/s506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stlii.edu.au/au/legis/cth/consol_act/ca2001172/s506a.html" TargetMode="External"/><Relationship Id="rId20" Type="http://schemas.openxmlformats.org/officeDocument/2006/relationships/hyperlink" Target="http://www.austlii.edu.au/au/legis/cth/consol_act/ca2001172/s579c.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stlii.edu.au/au/legis/cth/consol_act/ca2001172/s436da.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ustlii.edu.au/au/legis/cth/consol_act/ca2001172/s491.html" TargetMode="External"/><Relationship Id="rId23" Type="http://schemas.openxmlformats.org/officeDocument/2006/relationships/footer" Target="footer1.xml"/><Relationship Id="rId10" Type="http://schemas.openxmlformats.org/officeDocument/2006/relationships/hyperlink" Target="http://www.austlii.edu.au/au/legis/cth/consol_act/ca2001172/s446a.html" TargetMode="External"/><Relationship Id="rId19" Type="http://schemas.openxmlformats.org/officeDocument/2006/relationships/hyperlink" Target="http://www.austlii.edu.au/au/legis/cth/consol_act/ca2001172/s579b.html" TargetMode="External"/><Relationship Id="rId4" Type="http://schemas.openxmlformats.org/officeDocument/2006/relationships/webSettings" Target="webSettings.xml"/><Relationship Id="rId9" Type="http://schemas.openxmlformats.org/officeDocument/2006/relationships/hyperlink" Target="http://www.austlii.edu.au/au/legis/cth/consol_act/ca2001172/s161a.html" TargetMode="External"/><Relationship Id="rId14" Type="http://schemas.openxmlformats.org/officeDocument/2006/relationships/hyperlink" Target="http://www.austlii.edu.au/au/legis/cth/consol_act/ca2001172/s449c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93A7-D531-4F15-A370-A609EC86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 McLeod</dc:creator>
  <cp:keywords/>
  <dc:description/>
  <cp:lastModifiedBy>Stewart L. McLeod</cp:lastModifiedBy>
  <cp:revision>4</cp:revision>
  <dcterms:created xsi:type="dcterms:W3CDTF">2017-02-02T07:38:00Z</dcterms:created>
  <dcterms:modified xsi:type="dcterms:W3CDTF">2017-02-02T07:39:00Z</dcterms:modified>
</cp:coreProperties>
</file>